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8E" w:rsidRDefault="00AB0E8E">
      <w:pPr>
        <w:pBdr>
          <w:bottom w:val="single" w:sz="6" w:space="1" w:color="auto"/>
        </w:pBdr>
        <w:tabs>
          <w:tab w:val="right" w:pos="9360"/>
        </w:tabs>
        <w:jc w:val="both"/>
        <w:rPr>
          <w:rFonts w:ascii="Arial" w:hAnsi="Arial"/>
          <w:b/>
          <w:sz w:val="32"/>
        </w:rPr>
      </w:pPr>
      <w:r>
        <w:rPr>
          <w:rFonts w:ascii="Arial" w:hAnsi="Arial"/>
          <w:b/>
          <w:sz w:val="32"/>
        </w:rPr>
        <w:tab/>
        <w:t>PRODUCT DATA</w:t>
      </w:r>
      <w:r>
        <w:rPr>
          <w:rFonts w:ascii="Arial" w:hAnsi="Arial"/>
          <w:b/>
          <w:sz w:val="32"/>
        </w:rPr>
        <w:fldChar w:fldCharType="begin"/>
      </w:r>
      <w:r>
        <w:rPr>
          <w:rFonts w:ascii="Arial" w:hAnsi="Arial"/>
          <w:b/>
          <w:sz w:val="32"/>
        </w:rPr>
        <w:instrText>ADVANCE \d2</w:instrText>
      </w:r>
      <w:r>
        <w:rPr>
          <w:rFonts w:ascii="Arial" w:hAnsi="Arial"/>
          <w:b/>
          <w:sz w:val="32"/>
        </w:rPr>
        <w:fldChar w:fldCharType="end"/>
      </w:r>
      <w:bookmarkStart w:id="0" w:name="QuickMark"/>
      <w:bookmarkEnd w:id="0"/>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b/>
          <w:sz w:val="28"/>
        </w:rPr>
      </w:pPr>
    </w:p>
    <w:p w:rsidR="00AB0E8E" w:rsidRDefault="00AB0E8E">
      <w:pPr>
        <w:tabs>
          <w:tab w:val="center" w:pos="4680"/>
          <w:tab w:val="right" w:leader="dot" w:pos="7776"/>
          <w:tab w:val="right" w:pos="7920"/>
        </w:tabs>
        <w:jc w:val="both"/>
        <w:rPr>
          <w:rFonts w:ascii="Arial" w:hAnsi="Arial"/>
          <w:b/>
          <w:sz w:val="28"/>
        </w:rPr>
      </w:pPr>
      <w:r>
        <w:rPr>
          <w:rFonts w:ascii="Arial" w:hAnsi="Arial"/>
          <w:b/>
          <w:sz w:val="28"/>
        </w:rPr>
        <w:tab/>
        <w:t>FORMULA 1250</w:t>
      </w:r>
    </w:p>
    <w:p w:rsidR="00AB0E8E" w:rsidRDefault="00AB0E8E">
      <w:pPr>
        <w:tabs>
          <w:tab w:val="center" w:pos="4680"/>
          <w:tab w:val="right" w:leader="dot" w:pos="7776"/>
          <w:tab w:val="right" w:pos="7920"/>
        </w:tabs>
        <w:jc w:val="both"/>
        <w:rPr>
          <w:rFonts w:ascii="Arial" w:hAnsi="Arial"/>
          <w:b/>
          <w:sz w:val="28"/>
        </w:rPr>
      </w:pPr>
      <w:r>
        <w:rPr>
          <w:rFonts w:ascii="Arial" w:hAnsi="Arial"/>
          <w:b/>
          <w:sz w:val="28"/>
        </w:rPr>
        <w:tab/>
        <w:t>CLOSED SYSTEM INHIBITOR</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20"/>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20"/>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DESCRIPTION AND USE</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1250 is formulated as a </w:t>
      </w:r>
      <w:proofErr w:type="spellStart"/>
      <w:r>
        <w:rPr>
          <w:rFonts w:ascii="Arial" w:hAnsi="Arial"/>
          <w:sz w:val="18"/>
        </w:rPr>
        <w:t>non</w:t>
      </w:r>
      <w:r>
        <w:rPr>
          <w:rFonts w:ascii="Arial" w:hAnsi="Arial"/>
          <w:sz w:val="18"/>
        </w:rPr>
        <w:noBreakHyphen/>
        <w:t>staining</w:t>
      </w:r>
      <w:proofErr w:type="spellEnd"/>
      <w:r>
        <w:rPr>
          <w:rFonts w:ascii="Arial" w:hAnsi="Arial"/>
          <w:sz w:val="18"/>
        </w:rPr>
        <w:t xml:space="preserve">, low toxicity corrosion inhibitor for closed chilled or hot water systems.  It is also an excellent low solids corrosion inhibitor for systems with strict conductivity limitations such as vacuum and induction type furnaces.  In addition to the </w:t>
      </w:r>
      <w:proofErr w:type="spellStart"/>
      <w:r>
        <w:rPr>
          <w:rFonts w:ascii="Arial" w:hAnsi="Arial"/>
          <w:sz w:val="18"/>
        </w:rPr>
        <w:t>molybdate</w:t>
      </w:r>
      <w:proofErr w:type="spellEnd"/>
      <w:r>
        <w:rPr>
          <w:rFonts w:ascii="Arial" w:hAnsi="Arial"/>
          <w:sz w:val="18"/>
        </w:rPr>
        <w:t xml:space="preserve">, the product performance is enhanced with an organic </w:t>
      </w:r>
      <w:proofErr w:type="spellStart"/>
      <w:r>
        <w:rPr>
          <w:rFonts w:ascii="Arial" w:hAnsi="Arial"/>
          <w:sz w:val="18"/>
        </w:rPr>
        <w:t>phosphinate</w:t>
      </w:r>
      <w:proofErr w:type="spellEnd"/>
      <w:r>
        <w:rPr>
          <w:rFonts w:ascii="Arial" w:hAnsi="Arial"/>
          <w:sz w:val="18"/>
        </w:rPr>
        <w:t xml:space="preserve"> dispersant and </w:t>
      </w:r>
      <w:proofErr w:type="spellStart"/>
      <w:r>
        <w:rPr>
          <w:rFonts w:ascii="Arial" w:hAnsi="Arial"/>
          <w:sz w:val="18"/>
        </w:rPr>
        <w:t>azole</w:t>
      </w:r>
      <w:proofErr w:type="spellEnd"/>
      <w:r>
        <w:rPr>
          <w:rFonts w:ascii="Arial" w:hAnsi="Arial"/>
          <w:sz w:val="18"/>
        </w:rPr>
        <w:t xml:space="preserve"> yellow metal corrosion inhibitor. The product is designed to replace older chromate or nitrite inhibitors.  Both the problems of staining and toxicity with chromates and microbiological activity with nitrites are avoided.</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CHEMICAL FEEDING AND CONTROL</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1250 </w:t>
      </w:r>
      <w:proofErr w:type="gramStart"/>
      <w:r>
        <w:rPr>
          <w:rFonts w:ascii="Arial" w:hAnsi="Arial"/>
          <w:sz w:val="18"/>
        </w:rPr>
        <w:t>is</w:t>
      </w:r>
      <w:proofErr w:type="gramEnd"/>
      <w:r>
        <w:rPr>
          <w:rFonts w:ascii="Arial" w:hAnsi="Arial"/>
          <w:sz w:val="18"/>
        </w:rPr>
        <w:t xml:space="preserve"> normally shot fed to the system to establish the desired treatment concentration. For most systems, either a shot or bypass feeder is usually used.</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1250 </w:t>
      </w:r>
      <w:proofErr w:type="gramStart"/>
      <w:r>
        <w:rPr>
          <w:rFonts w:ascii="Arial" w:hAnsi="Arial"/>
          <w:sz w:val="18"/>
        </w:rPr>
        <w:t>is</w:t>
      </w:r>
      <w:proofErr w:type="gramEnd"/>
      <w:r>
        <w:rPr>
          <w:rFonts w:ascii="Arial" w:hAnsi="Arial"/>
          <w:sz w:val="18"/>
        </w:rPr>
        <w:t xml:space="preserve"> controlled by a </w:t>
      </w:r>
      <w:proofErr w:type="spellStart"/>
      <w:r>
        <w:rPr>
          <w:rFonts w:ascii="Arial" w:hAnsi="Arial"/>
          <w:sz w:val="18"/>
        </w:rPr>
        <w:t>molybdate</w:t>
      </w:r>
      <w:proofErr w:type="spellEnd"/>
      <w:r>
        <w:rPr>
          <w:rFonts w:ascii="Arial" w:hAnsi="Arial"/>
          <w:sz w:val="18"/>
        </w:rPr>
        <w:t xml:space="preserve"> test.  Either the sodium </w:t>
      </w:r>
      <w:proofErr w:type="spellStart"/>
      <w:r>
        <w:rPr>
          <w:rFonts w:ascii="Arial" w:hAnsi="Arial"/>
          <w:sz w:val="18"/>
        </w:rPr>
        <w:t>molybdate</w:t>
      </w:r>
      <w:proofErr w:type="spellEnd"/>
      <w:r>
        <w:rPr>
          <w:rFonts w:ascii="Arial" w:hAnsi="Arial"/>
          <w:sz w:val="18"/>
        </w:rPr>
        <w:t xml:space="preserve"> utilizing a color comparator or one of the </w:t>
      </w:r>
      <w:proofErr w:type="spellStart"/>
      <w:r>
        <w:rPr>
          <w:rFonts w:ascii="Arial" w:hAnsi="Arial"/>
          <w:sz w:val="18"/>
        </w:rPr>
        <w:t>molybdate</w:t>
      </w:r>
      <w:proofErr w:type="spellEnd"/>
      <w:r>
        <w:rPr>
          <w:rFonts w:ascii="Arial" w:hAnsi="Arial"/>
          <w:sz w:val="18"/>
        </w:rPr>
        <w:t xml:space="preserve"> molybdenum tests are satisfactory.  For any of the tests, appropriate dilutions will be required to get the results into a readable range.  Ordinary tap water may be used for dilution in most situations.  The specific control ranges vary depending upon system conditions and will be specified by the technical representative servicing the facility.</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TYPICAL PROPERTIES</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Appearance</w:t>
      </w:r>
      <w:r>
        <w:rPr>
          <w:rFonts w:ascii="Arial" w:hAnsi="Arial"/>
          <w:sz w:val="18"/>
        </w:rPr>
        <w:tab/>
        <w:t>Pale yellow liquid</w:t>
      </w: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Odor</w:t>
      </w:r>
      <w:r>
        <w:rPr>
          <w:rFonts w:ascii="Arial" w:hAnsi="Arial"/>
          <w:sz w:val="18"/>
        </w:rPr>
        <w:tab/>
        <w:t>Characteristic</w:t>
      </w: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Flash Point</w:t>
      </w:r>
      <w:r>
        <w:rPr>
          <w:rFonts w:ascii="Arial" w:hAnsi="Arial"/>
          <w:sz w:val="18"/>
        </w:rPr>
        <w:tab/>
        <w:t>None</w:t>
      </w: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Specific gravity</w:t>
      </w:r>
      <w:r>
        <w:rPr>
          <w:rFonts w:ascii="Arial" w:hAnsi="Arial"/>
          <w:sz w:val="18"/>
        </w:rPr>
        <w:tab/>
        <w:t>1.176</w:t>
      </w:r>
      <w:r>
        <w:rPr>
          <w:rFonts w:ascii="Arial" w:hAnsi="Arial"/>
          <w:sz w:val="18"/>
        </w:rPr>
        <w:noBreakHyphen/>
        <w:t>1.184</w:t>
      </w: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proofErr w:type="gramStart"/>
      <w:r>
        <w:rPr>
          <w:rFonts w:ascii="Arial" w:hAnsi="Arial"/>
          <w:sz w:val="18"/>
        </w:rPr>
        <w:t>pH(</w:t>
      </w:r>
      <w:proofErr w:type="gramEnd"/>
      <w:r>
        <w:rPr>
          <w:rFonts w:ascii="Arial" w:hAnsi="Arial"/>
          <w:sz w:val="18"/>
        </w:rPr>
        <w:t>undiluted)</w:t>
      </w:r>
      <w:r>
        <w:rPr>
          <w:rFonts w:ascii="Arial" w:hAnsi="Arial"/>
          <w:sz w:val="18"/>
        </w:rPr>
        <w:tab/>
        <w:t>&gt;13.0</w:t>
      </w:r>
    </w:p>
    <w:p w:rsidR="00AB0E8E" w:rsidRDefault="00AB0E8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Freeze Point</w:t>
      </w:r>
      <w:r>
        <w:rPr>
          <w:rFonts w:ascii="Arial" w:hAnsi="Arial"/>
          <w:sz w:val="18"/>
        </w:rPr>
        <w:tab/>
        <w:t>&lt;</w:t>
      </w:r>
      <w:r>
        <w:rPr>
          <w:rFonts w:ascii="Arial" w:hAnsi="Arial"/>
          <w:sz w:val="18"/>
        </w:rPr>
        <w:noBreakHyphen/>
      </w:r>
      <w:proofErr w:type="gramStart"/>
      <w:r>
        <w:rPr>
          <w:rFonts w:ascii="Arial" w:hAnsi="Arial"/>
          <w:sz w:val="18"/>
        </w:rPr>
        <w:t>5</w:t>
      </w:r>
      <w:r>
        <w:rPr>
          <w:rFonts w:ascii="Arial" w:hAnsi="Arial"/>
          <w:sz w:val="18"/>
          <w:vertAlign w:val="superscript"/>
        </w:rPr>
        <w:t>o</w:t>
      </w:r>
      <w:r>
        <w:rPr>
          <w:rFonts w:ascii="Arial" w:hAnsi="Arial"/>
          <w:sz w:val="18"/>
        </w:rPr>
        <w:t>C(</w:t>
      </w:r>
      <w:proofErr w:type="gramEnd"/>
      <w:r>
        <w:rPr>
          <w:rFonts w:ascii="Arial" w:hAnsi="Arial"/>
          <w:sz w:val="18"/>
        </w:rPr>
        <w:t>25</w:t>
      </w:r>
      <w:r>
        <w:rPr>
          <w:rFonts w:ascii="Arial" w:hAnsi="Arial"/>
          <w:sz w:val="18"/>
          <w:vertAlign w:val="superscript"/>
        </w:rPr>
        <w:t>o</w:t>
      </w:r>
      <w:r>
        <w:rPr>
          <w:rFonts w:ascii="Arial" w:hAnsi="Arial"/>
          <w:sz w:val="18"/>
        </w:rPr>
        <w:t>F)</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SAFETY AND HANDLING</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1250 may be toxic by ingestion.  Do not take internally.  If ingested, drink at least two (2) glasses of water and then get immediate medical attention.  Contact with eyes causes severe irritation or burns.  If eyes are contacted, immediately flush with clear water for 15 minutes and if irritation persists, get medical attention.  For skin contact, wash with soap and water.  For additional information, see the Material Safety Data Sheet provided with this product.</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PACKAGING</w:t>
      </w:r>
    </w:p>
    <w:p w:rsidR="00AB0E8E" w:rsidRDefault="00AB0E8E">
      <w:pPr>
        <w:tabs>
          <w:tab w:val="left" w:pos="-1440"/>
          <w:tab w:val="left" w:pos="-720"/>
          <w:tab w:val="left" w:pos="0"/>
          <w:tab w:val="left" w:pos="720"/>
          <w:tab w:val="left" w:pos="1440"/>
          <w:tab w:val="right" w:leader="dot" w:pos="7776"/>
          <w:tab w:val="right" w:pos="7920"/>
        </w:tabs>
        <w:jc w:val="both"/>
        <w:rPr>
          <w:rFonts w:ascii="Arial" w:hAnsi="Arial"/>
          <w:sz w:val="18"/>
        </w:rPr>
      </w:pPr>
    </w:p>
    <w:p w:rsidR="00AB0E8E" w:rsidRDefault="00AB0E8E">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1250 </w:t>
      </w:r>
      <w:r w:rsidR="00F33B3E" w:rsidRPr="00F33B3E">
        <w:rPr>
          <w:rFonts w:ascii="Arial" w:hAnsi="Arial"/>
          <w:sz w:val="18"/>
        </w:rPr>
        <w:t>is packaged in 55, 30, and 15 gallon, non returnable plastic drums and 5 or 6 gallon non-returnable plastic pails.</w:t>
      </w:r>
    </w:p>
    <w:sectPr w:rsidR="00AB0E8E">
      <w:footerReference w:type="default" r:id="rId6"/>
      <w:endnotePr>
        <w:numFmt w:val="decimal"/>
      </w:endnotePr>
      <w:pgSz w:w="12240" w:h="15840"/>
      <w:pgMar w:top="2016" w:right="1440" w:bottom="72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8E" w:rsidRDefault="00AB0E8E">
      <w:r>
        <w:separator/>
      </w:r>
    </w:p>
  </w:endnote>
  <w:endnote w:type="continuationSeparator" w:id="0">
    <w:p w:rsidR="00AB0E8E" w:rsidRDefault="00AB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E" w:rsidRDefault="00AB0E8E">
    <w:pPr>
      <w:tabs>
        <w:tab w:val="right" w:pos="9360"/>
      </w:tabs>
      <w:jc w:val="both"/>
      <w:rPr>
        <w:rFonts w:ascii="Arial" w:hAnsi="Arial"/>
        <w:sz w:val="20"/>
      </w:rPr>
    </w:pPr>
    <w:r>
      <w:rPr>
        <w:rFonts w:ascii="Arial" w:hAnsi="Arial"/>
        <w:sz w:val="20"/>
      </w:rPr>
      <w:tab/>
    </w:r>
    <w:r>
      <w:rPr>
        <w:rFonts w:ascii="Arial" w:hAnsi="Arial"/>
        <w:sz w:val="12"/>
      </w:rPr>
      <w:t>9/91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8E" w:rsidRDefault="00AB0E8E">
      <w:r>
        <w:separator/>
      </w:r>
    </w:p>
  </w:footnote>
  <w:footnote w:type="continuationSeparator" w:id="0">
    <w:p w:rsidR="00AB0E8E" w:rsidRDefault="00AB0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33B3E"/>
    <w:rsid w:val="00726962"/>
    <w:rsid w:val="00AB0E8E"/>
    <w:rsid w:val="00F33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 Brown</dc:creator>
  <cp:keywords/>
  <cp:lastModifiedBy>kristel.thomas</cp:lastModifiedBy>
  <cp:revision>2</cp:revision>
  <cp:lastPrinted>2011-12-09T20:10:00Z</cp:lastPrinted>
  <dcterms:created xsi:type="dcterms:W3CDTF">2011-12-09T20:10:00Z</dcterms:created>
  <dcterms:modified xsi:type="dcterms:W3CDTF">2011-12-09T20:10:00Z</dcterms:modified>
</cp:coreProperties>
</file>