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1012">
      <w:pPr>
        <w:pStyle w:val="Heading3"/>
        <w:pBdr>
          <w:bottom w:val="single" w:sz="12" w:space="1" w:color="auto"/>
        </w:pBdr>
        <w:rPr>
          <w:b/>
          <w:bCs/>
        </w:rPr>
      </w:pPr>
      <w:r>
        <w:rPr>
          <w:b/>
          <w:bCs/>
        </w:rPr>
        <w:t>Product Data</w:t>
      </w:r>
    </w:p>
    <w:p w:rsidR="00000000" w:rsidRDefault="007D1012">
      <w:pPr>
        <w:widowControl w:val="0"/>
        <w:spacing w:line="292" w:lineRule="atLeast"/>
        <w:jc w:val="both"/>
        <w:rPr>
          <w:b/>
          <w:bCs/>
          <w:snapToGrid w:val="0"/>
          <w:sz w:val="24"/>
          <w:szCs w:val="24"/>
        </w:rPr>
      </w:pPr>
    </w:p>
    <w:p w:rsidR="00000000" w:rsidRDefault="007D1012">
      <w:pPr>
        <w:pStyle w:val="Heading2"/>
        <w:rPr>
          <w:b/>
          <w:bCs/>
        </w:rPr>
      </w:pPr>
      <w:r>
        <w:rPr>
          <w:b/>
          <w:bCs/>
        </w:rPr>
        <w:t>FORMULA 1590</w:t>
      </w:r>
    </w:p>
    <w:p w:rsidR="00000000" w:rsidRDefault="007D1012">
      <w:pPr>
        <w:widowControl w:val="0"/>
        <w:spacing w:line="264" w:lineRule="atLeast"/>
        <w:ind w:firstLine="1012"/>
        <w:jc w:val="center"/>
        <w:rPr>
          <w:snapToGrid w:val="0"/>
          <w:sz w:val="24"/>
          <w:szCs w:val="24"/>
        </w:rPr>
      </w:pPr>
      <w:r>
        <w:rPr>
          <w:b/>
          <w:bCs/>
          <w:snapToGrid w:val="0"/>
          <w:sz w:val="24"/>
          <w:szCs w:val="24"/>
        </w:rPr>
        <w:t>COOLING WATER MICROBIOCIDE</w:t>
      </w:r>
    </w:p>
    <w:p w:rsidR="00000000" w:rsidRDefault="007D1012">
      <w:pPr>
        <w:widowControl w:val="0"/>
        <w:spacing w:line="264" w:lineRule="atLeast"/>
        <w:ind w:firstLine="1012"/>
        <w:jc w:val="center"/>
        <w:rPr>
          <w:b/>
          <w:bCs/>
          <w:snapToGrid w:val="0"/>
          <w:sz w:val="24"/>
          <w:szCs w:val="24"/>
        </w:rPr>
      </w:pPr>
    </w:p>
    <w:p w:rsidR="00000000" w:rsidRDefault="007D1012">
      <w:pPr>
        <w:pStyle w:val="Heading4"/>
        <w:rPr>
          <w:sz w:val="22"/>
          <w:szCs w:val="22"/>
        </w:rPr>
      </w:pPr>
      <w:r>
        <w:rPr>
          <w:sz w:val="22"/>
          <w:szCs w:val="22"/>
        </w:rPr>
        <w:t>DESCRIPTION AND USE</w:t>
      </w:r>
    </w:p>
    <w:p w:rsidR="00000000" w:rsidRDefault="007D1012">
      <w:pPr>
        <w:pStyle w:val="BodyText"/>
        <w:rPr>
          <w:sz w:val="22"/>
          <w:szCs w:val="22"/>
        </w:rPr>
      </w:pPr>
      <w:r>
        <w:rPr>
          <w:sz w:val="22"/>
          <w:szCs w:val="22"/>
        </w:rPr>
        <w:t xml:space="preserve">FORMULA 1590 is a unique stabilized liquid bromine-based </w:t>
      </w:r>
      <w:proofErr w:type="spellStart"/>
      <w:r>
        <w:rPr>
          <w:sz w:val="22"/>
          <w:szCs w:val="22"/>
        </w:rPr>
        <w:t>microbiocide</w:t>
      </w:r>
      <w:proofErr w:type="spellEnd"/>
      <w:r>
        <w:rPr>
          <w:sz w:val="22"/>
          <w:szCs w:val="22"/>
        </w:rPr>
        <w:t xml:space="preserve"> for use in once-through indu</w:t>
      </w:r>
      <w:r>
        <w:rPr>
          <w:sz w:val="22"/>
          <w:szCs w:val="22"/>
        </w:rPr>
        <w:t xml:space="preserve">strial cooling water systems, open recirculating cooling tower and evaporative condenser water systems, decorative fountains, industrial air scrubbers, pulp and paper mill systems and wastewater systems. The product can be applied as a stand-alone biocide </w:t>
      </w:r>
      <w:r>
        <w:rPr>
          <w:sz w:val="22"/>
          <w:szCs w:val="22"/>
        </w:rPr>
        <w:t xml:space="preserve">program, but is typically applied in combination with a </w:t>
      </w:r>
      <w:proofErr w:type="spellStart"/>
      <w:r>
        <w:rPr>
          <w:sz w:val="22"/>
          <w:szCs w:val="22"/>
        </w:rPr>
        <w:t>biodispersant</w:t>
      </w:r>
      <w:proofErr w:type="spellEnd"/>
      <w:r>
        <w:rPr>
          <w:sz w:val="22"/>
          <w:szCs w:val="22"/>
        </w:rPr>
        <w:t xml:space="preserve"> or intermittent feed of a non-oxid</w:t>
      </w:r>
      <w:bookmarkStart w:id="0" w:name="_GoBack"/>
      <w:bookmarkEnd w:id="0"/>
      <w:r>
        <w:rPr>
          <w:sz w:val="22"/>
          <w:szCs w:val="22"/>
        </w:rPr>
        <w:t xml:space="preserve">izing </w:t>
      </w:r>
      <w:proofErr w:type="spellStart"/>
      <w:r>
        <w:rPr>
          <w:sz w:val="22"/>
          <w:szCs w:val="22"/>
        </w:rPr>
        <w:t>microbiocide</w:t>
      </w:r>
      <w:proofErr w:type="spellEnd"/>
      <w:r>
        <w:rPr>
          <w:sz w:val="22"/>
          <w:szCs w:val="22"/>
        </w:rPr>
        <w:t xml:space="preserve">.  The </w:t>
      </w:r>
      <w:r>
        <w:rPr>
          <w:i/>
          <w:iCs/>
          <w:sz w:val="22"/>
          <w:szCs w:val="22"/>
        </w:rPr>
        <w:t xml:space="preserve">"stabilizing" </w:t>
      </w:r>
      <w:r>
        <w:rPr>
          <w:sz w:val="22"/>
          <w:szCs w:val="22"/>
        </w:rPr>
        <w:t>effect of FORMULA 1590 enables this product to provide superior control of biofilm (and removal of existing biofi</w:t>
      </w:r>
      <w:r>
        <w:rPr>
          <w:sz w:val="22"/>
          <w:szCs w:val="22"/>
        </w:rPr>
        <w:t>lm) compared to conventional halogen products.</w:t>
      </w:r>
    </w:p>
    <w:p w:rsidR="00000000" w:rsidRDefault="007D1012">
      <w:pPr>
        <w:widowControl w:val="0"/>
        <w:spacing w:line="201" w:lineRule="atLeast"/>
        <w:ind w:firstLine="43"/>
        <w:jc w:val="both"/>
        <w:rPr>
          <w:snapToGrid w:val="0"/>
          <w:sz w:val="22"/>
          <w:szCs w:val="22"/>
        </w:rPr>
      </w:pPr>
    </w:p>
    <w:p w:rsidR="00000000" w:rsidRDefault="007D1012">
      <w:pPr>
        <w:pStyle w:val="Heading7"/>
        <w:spacing w:line="201" w:lineRule="atLeast"/>
      </w:pPr>
      <w:r>
        <w:t>CHEMICAL FEEDING AND CONTROL</w:t>
      </w:r>
    </w:p>
    <w:p w:rsidR="00000000" w:rsidRDefault="007D1012">
      <w:pPr>
        <w:widowControl w:val="0"/>
        <w:spacing w:line="201" w:lineRule="atLeast"/>
        <w:jc w:val="both"/>
        <w:rPr>
          <w:snapToGrid w:val="0"/>
          <w:sz w:val="22"/>
          <w:szCs w:val="22"/>
        </w:rPr>
      </w:pPr>
      <w:r>
        <w:rPr>
          <w:snapToGrid w:val="0"/>
          <w:sz w:val="22"/>
          <w:szCs w:val="22"/>
        </w:rPr>
        <w:t>FORMULA 1590 is fed much like feeding bleach. A pump with an auto-degassing wet end is recommended to ensure reliable pumping, especially where environment conditions are variable</w:t>
      </w:r>
      <w:r>
        <w:rPr>
          <w:snapToGrid w:val="0"/>
          <w:sz w:val="22"/>
          <w:szCs w:val="22"/>
        </w:rPr>
        <w:t xml:space="preserve">. The suggested initial </w:t>
      </w:r>
      <w:proofErr w:type="spellStart"/>
      <w:r>
        <w:rPr>
          <w:snapToGrid w:val="0"/>
          <w:sz w:val="22"/>
          <w:szCs w:val="22"/>
        </w:rPr>
        <w:t>feedrate</w:t>
      </w:r>
      <w:proofErr w:type="spellEnd"/>
      <w:r>
        <w:rPr>
          <w:snapToGrid w:val="0"/>
          <w:sz w:val="22"/>
          <w:szCs w:val="22"/>
        </w:rPr>
        <w:t xml:space="preserve"> dose is 4.5 </w:t>
      </w:r>
      <w:proofErr w:type="spellStart"/>
      <w:r>
        <w:rPr>
          <w:snapToGrid w:val="0"/>
          <w:sz w:val="22"/>
          <w:szCs w:val="22"/>
        </w:rPr>
        <w:t>oz</w:t>
      </w:r>
      <w:proofErr w:type="spellEnd"/>
      <w:r>
        <w:rPr>
          <w:snapToGrid w:val="0"/>
          <w:sz w:val="22"/>
          <w:szCs w:val="22"/>
        </w:rPr>
        <w:t xml:space="preserve"> to 9.1 </w:t>
      </w:r>
      <w:proofErr w:type="spellStart"/>
      <w:r>
        <w:rPr>
          <w:snapToGrid w:val="0"/>
          <w:sz w:val="22"/>
          <w:szCs w:val="22"/>
        </w:rPr>
        <w:t>oz</w:t>
      </w:r>
      <w:proofErr w:type="spellEnd"/>
      <w:r>
        <w:rPr>
          <w:snapToGrid w:val="0"/>
          <w:sz w:val="22"/>
          <w:szCs w:val="22"/>
        </w:rPr>
        <w:t xml:space="preserve"> of product per 1000 gallons of system volume if fed continuous or 2.8 </w:t>
      </w:r>
      <w:proofErr w:type="spellStart"/>
      <w:r>
        <w:rPr>
          <w:snapToGrid w:val="0"/>
          <w:sz w:val="22"/>
          <w:szCs w:val="22"/>
        </w:rPr>
        <w:t>oz</w:t>
      </w:r>
      <w:proofErr w:type="spellEnd"/>
      <w:r>
        <w:rPr>
          <w:snapToGrid w:val="0"/>
          <w:sz w:val="22"/>
          <w:szCs w:val="22"/>
        </w:rPr>
        <w:t xml:space="preserve"> to 5.8 </w:t>
      </w:r>
      <w:proofErr w:type="spellStart"/>
      <w:r>
        <w:rPr>
          <w:snapToGrid w:val="0"/>
          <w:sz w:val="22"/>
          <w:szCs w:val="22"/>
        </w:rPr>
        <w:t>oz</w:t>
      </w:r>
      <w:proofErr w:type="spellEnd"/>
      <w:r>
        <w:rPr>
          <w:snapToGrid w:val="0"/>
          <w:sz w:val="22"/>
          <w:szCs w:val="22"/>
        </w:rPr>
        <w:t xml:space="preserve"> per 1000 gallons of system volume if slug fed </w:t>
      </w:r>
      <w:proofErr w:type="spellStart"/>
      <w:r>
        <w:rPr>
          <w:snapToGrid w:val="0"/>
          <w:sz w:val="22"/>
          <w:szCs w:val="22"/>
        </w:rPr>
        <w:t>intermittantly</w:t>
      </w:r>
      <w:proofErr w:type="spellEnd"/>
      <w:r>
        <w:rPr>
          <w:snapToGrid w:val="0"/>
          <w:sz w:val="22"/>
          <w:szCs w:val="22"/>
        </w:rPr>
        <w:t>. The recommended residual control to start is "='2 ppm</w:t>
      </w:r>
      <w:r>
        <w:rPr>
          <w:snapToGrid w:val="0"/>
          <w:sz w:val="22"/>
          <w:szCs w:val="22"/>
        </w:rPr>
        <w:t xml:space="preserve"> total bromine as Br if fed continuous or 4-6 ppm total bromine as Br if slug fed </w:t>
      </w:r>
      <w:proofErr w:type="spellStart"/>
      <w:r>
        <w:rPr>
          <w:snapToGrid w:val="0"/>
          <w:sz w:val="22"/>
          <w:szCs w:val="22"/>
        </w:rPr>
        <w:t>intermittantly</w:t>
      </w:r>
      <w:proofErr w:type="spellEnd"/>
      <w:r>
        <w:rPr>
          <w:snapToGrid w:val="0"/>
          <w:sz w:val="22"/>
          <w:szCs w:val="22"/>
        </w:rPr>
        <w:t>. The final maintenance feed rate will vary depending upon system operating conditions and can be specified by the technical representative servicing the facili</w:t>
      </w:r>
      <w:r>
        <w:rPr>
          <w:snapToGrid w:val="0"/>
          <w:sz w:val="22"/>
          <w:szCs w:val="22"/>
        </w:rPr>
        <w:t xml:space="preserve">ty. This neat product is compatible with various plastic materials including HOPE, PP, EPDM, PTFE, </w:t>
      </w:r>
      <w:proofErr w:type="spellStart"/>
      <w:r>
        <w:rPr>
          <w:snapToGrid w:val="0"/>
          <w:sz w:val="22"/>
          <w:szCs w:val="22"/>
        </w:rPr>
        <w:t>Tygon</w:t>
      </w:r>
      <w:proofErr w:type="spellEnd"/>
      <w:r>
        <w:rPr>
          <w:snapToGrid w:val="0"/>
          <w:sz w:val="22"/>
          <w:szCs w:val="22"/>
        </w:rPr>
        <w:t xml:space="preserve">, </w:t>
      </w:r>
      <w:proofErr w:type="spellStart"/>
      <w:r>
        <w:rPr>
          <w:snapToGrid w:val="0"/>
          <w:sz w:val="22"/>
          <w:szCs w:val="22"/>
        </w:rPr>
        <w:t>Hypalon</w:t>
      </w:r>
      <w:proofErr w:type="spellEnd"/>
      <w:r>
        <w:rPr>
          <w:snapToGrid w:val="0"/>
          <w:sz w:val="22"/>
          <w:szCs w:val="22"/>
        </w:rPr>
        <w:t>, vinyl tubing, PVC &amp; Viton. At recommended use concentration, this product is compatible with the commonly used materials of construction in c</w:t>
      </w:r>
      <w:r>
        <w:rPr>
          <w:snapToGrid w:val="0"/>
          <w:sz w:val="22"/>
          <w:szCs w:val="22"/>
        </w:rPr>
        <w:t>ooling towers.</w:t>
      </w:r>
    </w:p>
    <w:p w:rsidR="00000000" w:rsidRDefault="007D1012">
      <w:pPr>
        <w:widowControl w:val="0"/>
        <w:spacing w:line="201" w:lineRule="atLeast"/>
        <w:jc w:val="both"/>
        <w:rPr>
          <w:snapToGrid w:val="0"/>
          <w:sz w:val="22"/>
          <w:szCs w:val="22"/>
        </w:rPr>
      </w:pPr>
    </w:p>
    <w:p w:rsidR="00000000" w:rsidRDefault="007D1012">
      <w:pPr>
        <w:widowControl w:val="0"/>
        <w:spacing w:line="192" w:lineRule="atLeast"/>
        <w:jc w:val="both"/>
        <w:rPr>
          <w:snapToGrid w:val="0"/>
          <w:sz w:val="22"/>
          <w:szCs w:val="22"/>
        </w:rPr>
      </w:pPr>
      <w:r>
        <w:rPr>
          <w:snapToGrid w:val="0"/>
          <w:sz w:val="22"/>
          <w:szCs w:val="22"/>
        </w:rPr>
        <w:t>Site specific experience based on microbiological and fouling indicators should be used to optimize the dosage and residual target. Conventiona</w:t>
      </w:r>
      <w:r>
        <w:rPr>
          <w:snapToGrid w:val="0"/>
          <w:sz w:val="22"/>
          <w:szCs w:val="22"/>
        </w:rPr>
        <w:t>l total halogen tests can be used to measure residual. Note, multiply the test results as CI2 by 2.25 to convert to residual as Br. There are various microbiological and fouling monitoring methods. Specific feed rate and monitoring methods must be specifie</w:t>
      </w:r>
      <w:r>
        <w:rPr>
          <w:snapToGrid w:val="0"/>
          <w:sz w:val="22"/>
          <w:szCs w:val="22"/>
        </w:rPr>
        <w:t>d by the technical service representative.</w:t>
      </w:r>
    </w:p>
    <w:p w:rsidR="00000000" w:rsidRDefault="007D1012">
      <w:pPr>
        <w:widowControl w:val="0"/>
        <w:spacing w:line="192" w:lineRule="atLeast"/>
        <w:jc w:val="both"/>
        <w:rPr>
          <w:snapToGrid w:val="0"/>
          <w:sz w:val="22"/>
          <w:szCs w:val="22"/>
        </w:rPr>
      </w:pPr>
    </w:p>
    <w:p w:rsidR="00000000" w:rsidRDefault="007D1012">
      <w:pPr>
        <w:pStyle w:val="Heading5"/>
        <w:rPr>
          <w:b/>
          <w:bCs/>
          <w:sz w:val="22"/>
          <w:szCs w:val="22"/>
        </w:rPr>
      </w:pPr>
      <w:r>
        <w:rPr>
          <w:b/>
          <w:bCs/>
          <w:sz w:val="22"/>
          <w:szCs w:val="22"/>
        </w:rPr>
        <w:t>TYPICAL PROPERTIES</w:t>
      </w:r>
    </w:p>
    <w:p w:rsidR="00000000" w:rsidRDefault="007D1012">
      <w:pPr>
        <w:widowControl w:val="0"/>
        <w:tabs>
          <w:tab w:val="left" w:pos="1339"/>
          <w:tab w:val="right" w:leader="dot" w:pos="7329"/>
        </w:tabs>
        <w:spacing w:line="201" w:lineRule="atLeast"/>
        <w:jc w:val="both"/>
        <w:rPr>
          <w:snapToGrid w:val="0"/>
          <w:sz w:val="22"/>
          <w:szCs w:val="22"/>
        </w:rPr>
      </w:pPr>
      <w:r>
        <w:rPr>
          <w:snapToGrid w:val="0"/>
          <w:sz w:val="22"/>
          <w:szCs w:val="22"/>
        </w:rPr>
        <w:tab/>
        <w:t>Appearance</w:t>
      </w:r>
      <w:r>
        <w:rPr>
          <w:snapToGrid w:val="0"/>
          <w:sz w:val="22"/>
          <w:szCs w:val="22"/>
        </w:rPr>
        <w:tab/>
        <w:t>Clear yellow to clear orange liquid</w:t>
      </w:r>
    </w:p>
    <w:p w:rsidR="00000000" w:rsidRDefault="007D1012">
      <w:pPr>
        <w:pStyle w:val="Heading1"/>
        <w:rPr>
          <w:sz w:val="22"/>
          <w:szCs w:val="22"/>
        </w:rPr>
      </w:pPr>
      <w:r>
        <w:rPr>
          <w:sz w:val="22"/>
          <w:szCs w:val="22"/>
        </w:rPr>
        <w:tab/>
        <w:t>Odor</w:t>
      </w:r>
      <w:r>
        <w:rPr>
          <w:sz w:val="22"/>
          <w:szCs w:val="22"/>
        </w:rPr>
        <w:tab/>
        <w:t>Mild, sweet fragrance</w:t>
      </w:r>
    </w:p>
    <w:p w:rsidR="00000000" w:rsidRDefault="007D1012">
      <w:pPr>
        <w:widowControl w:val="0"/>
        <w:tabs>
          <w:tab w:val="left" w:pos="1339"/>
          <w:tab w:val="right" w:leader="dot" w:pos="7329"/>
        </w:tabs>
        <w:spacing w:line="201" w:lineRule="atLeast"/>
        <w:jc w:val="both"/>
        <w:rPr>
          <w:snapToGrid w:val="0"/>
          <w:sz w:val="22"/>
          <w:szCs w:val="22"/>
        </w:rPr>
      </w:pPr>
      <w:r>
        <w:rPr>
          <w:snapToGrid w:val="0"/>
          <w:sz w:val="22"/>
          <w:szCs w:val="22"/>
        </w:rPr>
        <w:tab/>
        <w:t>Boiling Point</w:t>
      </w:r>
      <w:r>
        <w:rPr>
          <w:snapToGrid w:val="0"/>
          <w:sz w:val="22"/>
          <w:szCs w:val="22"/>
        </w:rPr>
        <w:tab/>
        <w:t>214 - 216°F</w:t>
      </w:r>
    </w:p>
    <w:p w:rsidR="00000000" w:rsidRDefault="007D1012">
      <w:pPr>
        <w:widowControl w:val="0"/>
        <w:tabs>
          <w:tab w:val="left" w:pos="1339"/>
          <w:tab w:val="right" w:leader="dot" w:pos="7329"/>
        </w:tabs>
        <w:spacing w:line="201" w:lineRule="atLeast"/>
        <w:jc w:val="both"/>
        <w:rPr>
          <w:snapToGrid w:val="0"/>
          <w:sz w:val="22"/>
          <w:szCs w:val="22"/>
        </w:rPr>
      </w:pPr>
      <w:r>
        <w:rPr>
          <w:snapToGrid w:val="0"/>
          <w:sz w:val="22"/>
          <w:szCs w:val="22"/>
        </w:rPr>
        <w:tab/>
        <w:t>Specific gravity</w:t>
      </w:r>
      <w:r>
        <w:rPr>
          <w:snapToGrid w:val="0"/>
          <w:sz w:val="22"/>
          <w:szCs w:val="22"/>
        </w:rPr>
        <w:tab/>
        <w:t>1.31 - 1.37</w:t>
      </w:r>
    </w:p>
    <w:p w:rsidR="00000000" w:rsidRDefault="007D1012">
      <w:pPr>
        <w:widowControl w:val="0"/>
        <w:tabs>
          <w:tab w:val="left" w:pos="1339"/>
          <w:tab w:val="right" w:leader="dot" w:pos="7329"/>
        </w:tabs>
        <w:spacing w:line="201" w:lineRule="atLeast"/>
        <w:jc w:val="both"/>
        <w:rPr>
          <w:snapToGrid w:val="0"/>
          <w:sz w:val="22"/>
          <w:szCs w:val="22"/>
        </w:rPr>
      </w:pPr>
      <w:r>
        <w:rPr>
          <w:snapToGrid w:val="0"/>
          <w:sz w:val="22"/>
          <w:szCs w:val="22"/>
        </w:rPr>
        <w:tab/>
      </w:r>
      <w:proofErr w:type="gramStart"/>
      <w:r>
        <w:rPr>
          <w:snapToGrid w:val="0"/>
          <w:sz w:val="22"/>
          <w:szCs w:val="22"/>
        </w:rPr>
        <w:t>pH</w:t>
      </w:r>
      <w:proofErr w:type="gramEnd"/>
      <w:r>
        <w:rPr>
          <w:snapToGrid w:val="0"/>
          <w:sz w:val="22"/>
          <w:szCs w:val="22"/>
        </w:rPr>
        <w:t xml:space="preserve"> (undiluted)</w:t>
      </w:r>
      <w:r>
        <w:rPr>
          <w:snapToGrid w:val="0"/>
          <w:sz w:val="22"/>
          <w:szCs w:val="22"/>
        </w:rPr>
        <w:tab/>
        <w:t>12.4 - 13.7</w:t>
      </w:r>
    </w:p>
    <w:p w:rsidR="00000000" w:rsidRDefault="007D1012">
      <w:pPr>
        <w:widowControl w:val="0"/>
        <w:tabs>
          <w:tab w:val="left" w:pos="1339"/>
          <w:tab w:val="right" w:leader="dot" w:pos="7329"/>
        </w:tabs>
        <w:spacing w:line="201" w:lineRule="atLeast"/>
        <w:jc w:val="both"/>
        <w:rPr>
          <w:snapToGrid w:val="0"/>
          <w:sz w:val="22"/>
          <w:szCs w:val="22"/>
        </w:rPr>
      </w:pPr>
      <w:r>
        <w:rPr>
          <w:snapToGrid w:val="0"/>
          <w:sz w:val="22"/>
          <w:szCs w:val="22"/>
        </w:rPr>
        <w:tab/>
        <w:t>Freeze Point</w:t>
      </w:r>
      <w:r>
        <w:rPr>
          <w:snapToGrid w:val="0"/>
          <w:sz w:val="22"/>
          <w:szCs w:val="22"/>
        </w:rPr>
        <w:tab/>
        <w:t>31.5ºF</w:t>
      </w:r>
    </w:p>
    <w:p w:rsidR="00000000" w:rsidRDefault="007D1012">
      <w:pPr>
        <w:widowControl w:val="0"/>
        <w:tabs>
          <w:tab w:val="left" w:pos="1339"/>
          <w:tab w:val="right" w:leader="dot" w:pos="7329"/>
        </w:tabs>
        <w:spacing w:line="201" w:lineRule="atLeast"/>
        <w:jc w:val="both"/>
        <w:rPr>
          <w:snapToGrid w:val="0"/>
          <w:sz w:val="22"/>
          <w:szCs w:val="22"/>
        </w:rPr>
      </w:pPr>
      <w:r>
        <w:rPr>
          <w:snapToGrid w:val="0"/>
          <w:sz w:val="22"/>
          <w:szCs w:val="22"/>
        </w:rPr>
        <w:tab/>
        <w:t>Vapor Pres</w:t>
      </w:r>
      <w:r>
        <w:rPr>
          <w:snapToGrid w:val="0"/>
          <w:sz w:val="22"/>
          <w:szCs w:val="22"/>
        </w:rPr>
        <w:t>sure</w:t>
      </w:r>
      <w:r>
        <w:rPr>
          <w:snapToGrid w:val="0"/>
          <w:sz w:val="22"/>
          <w:szCs w:val="22"/>
        </w:rPr>
        <w:tab/>
        <w:t>19mm Hg at 77°F</w:t>
      </w:r>
    </w:p>
    <w:p w:rsidR="00000000" w:rsidRDefault="007D1012">
      <w:pPr>
        <w:widowControl w:val="0"/>
        <w:tabs>
          <w:tab w:val="left" w:pos="1339"/>
          <w:tab w:val="right" w:leader="dot" w:pos="7329"/>
        </w:tabs>
        <w:spacing w:line="201" w:lineRule="atLeast"/>
        <w:jc w:val="both"/>
        <w:rPr>
          <w:snapToGrid w:val="0"/>
          <w:sz w:val="22"/>
          <w:szCs w:val="22"/>
        </w:rPr>
      </w:pPr>
    </w:p>
    <w:p w:rsidR="00000000" w:rsidRDefault="007D1012">
      <w:pPr>
        <w:pStyle w:val="Heading7"/>
      </w:pPr>
      <w:r>
        <w:t>SAFETY AND HANDLING</w:t>
      </w:r>
    </w:p>
    <w:p w:rsidR="00000000" w:rsidRDefault="007D1012">
      <w:pPr>
        <w:widowControl w:val="0"/>
        <w:spacing w:line="206" w:lineRule="atLeast"/>
        <w:jc w:val="both"/>
        <w:rPr>
          <w:snapToGrid w:val="0"/>
          <w:sz w:val="22"/>
          <w:szCs w:val="22"/>
        </w:rPr>
      </w:pPr>
      <w:r>
        <w:rPr>
          <w:snapToGrid w:val="0"/>
          <w:sz w:val="22"/>
          <w:szCs w:val="22"/>
        </w:rPr>
        <w:t>Do not take FORMULA 1590 internally. If ingested, drink at least two (2) glasses of water and get immediate medical attention. Contact with eyes will cause burns. If eyes are contacted, immediately flush with clean</w:t>
      </w:r>
      <w:r>
        <w:rPr>
          <w:snapToGrid w:val="0"/>
          <w:sz w:val="22"/>
          <w:szCs w:val="22"/>
        </w:rPr>
        <w:t xml:space="preserve"> water for 15 minutes and get medical attention. Direct contact with the skin will cause burns. For skin contact, flush </w:t>
      </w:r>
      <w:proofErr w:type="gramStart"/>
      <w:r>
        <w:rPr>
          <w:snapToGrid w:val="0"/>
          <w:sz w:val="22"/>
          <w:szCs w:val="22"/>
        </w:rPr>
        <w:t>with</w:t>
      </w:r>
      <w:proofErr w:type="gramEnd"/>
      <w:r>
        <w:rPr>
          <w:snapToGrid w:val="0"/>
          <w:sz w:val="22"/>
          <w:szCs w:val="22"/>
        </w:rPr>
        <w:t xml:space="preserve"> water while removing contaminated clothing and get immediate medical attention. For additional information, see the Material Safety</w:t>
      </w:r>
      <w:r>
        <w:rPr>
          <w:snapToGrid w:val="0"/>
          <w:sz w:val="22"/>
          <w:szCs w:val="22"/>
        </w:rPr>
        <w:t xml:space="preserve"> Data Sheet provided with this product.</w:t>
      </w:r>
    </w:p>
    <w:p w:rsidR="00000000" w:rsidRDefault="007D1012">
      <w:pPr>
        <w:widowControl w:val="0"/>
        <w:spacing w:line="206" w:lineRule="atLeast"/>
        <w:jc w:val="both"/>
        <w:rPr>
          <w:snapToGrid w:val="0"/>
          <w:sz w:val="22"/>
          <w:szCs w:val="22"/>
        </w:rPr>
      </w:pPr>
    </w:p>
    <w:p w:rsidR="00000000" w:rsidRDefault="007D1012">
      <w:pPr>
        <w:pStyle w:val="Heading6"/>
      </w:pPr>
      <w:r>
        <w:t>PACKAGING</w:t>
      </w:r>
    </w:p>
    <w:p w:rsidR="00000000" w:rsidRDefault="007D1012">
      <w:pPr>
        <w:widowControl w:val="0"/>
        <w:spacing w:line="216" w:lineRule="atLeast"/>
        <w:rPr>
          <w:snapToGrid w:val="0"/>
          <w:sz w:val="22"/>
          <w:szCs w:val="22"/>
        </w:rPr>
      </w:pPr>
      <w:r>
        <w:rPr>
          <w:snapToGrid w:val="0"/>
          <w:sz w:val="22"/>
          <w:szCs w:val="22"/>
        </w:rPr>
        <w:t>FORMULA 1590 is packaged in 55, 3D, 15 and 5 gallon plastic containers and one-way 275 gallon totes. Returnable 55 and 30 gallon drums and totes are available by special order.</w:t>
      </w:r>
    </w:p>
    <w:p w:rsidR="00000000" w:rsidRDefault="007D1012">
      <w:pPr>
        <w:widowControl w:val="0"/>
        <w:spacing w:line="216" w:lineRule="atLeast"/>
        <w:rPr>
          <w:snapToGrid w:val="0"/>
          <w:sz w:val="22"/>
          <w:szCs w:val="22"/>
        </w:rPr>
      </w:pPr>
    </w:p>
    <w:p w:rsidR="00000000" w:rsidRDefault="007D1012">
      <w:pPr>
        <w:widowControl w:val="0"/>
        <w:spacing w:line="134" w:lineRule="atLeast"/>
        <w:jc w:val="right"/>
        <w:rPr>
          <w:snapToGrid w:val="0"/>
          <w:sz w:val="22"/>
          <w:szCs w:val="22"/>
        </w:rPr>
      </w:pPr>
      <w:r>
        <w:rPr>
          <w:snapToGrid w:val="0"/>
          <w:sz w:val="16"/>
          <w:szCs w:val="16"/>
        </w:rPr>
        <w:t>07/23/01</w:t>
      </w:r>
    </w:p>
    <w:sectPr w:rsidR="00000000">
      <w:headerReference w:type="default" r:id="rId6"/>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1012">
      <w:r>
        <w:separator/>
      </w:r>
    </w:p>
  </w:endnote>
  <w:endnote w:type="continuationSeparator" w:id="0">
    <w:p w:rsidR="00000000" w:rsidRDefault="007D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1012">
      <w:r>
        <w:separator/>
      </w:r>
    </w:p>
  </w:footnote>
  <w:footnote w:type="continuationSeparator" w:id="0">
    <w:p w:rsidR="00000000" w:rsidRDefault="007D1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1012">
    <w:pPr>
      <w:jc w:val="center"/>
      <w:rPr>
        <w:rFonts w:ascii="GoudyOlSt BT" w:hAnsi="GoudyOlSt BT" w:cs="GoudyOlSt BT"/>
        <w:sz w:val="28"/>
        <w:szCs w:val="28"/>
      </w:rPr>
    </w:pPr>
    <w:r>
      <w:rPr>
        <w:rFonts w:ascii="GoudyOlSt BT" w:hAnsi="GoudyOlSt BT" w:cs="GoudyOlSt BT"/>
        <w:b/>
        <w:bCs/>
        <w:sz w:val="28"/>
        <w:szCs w:val="28"/>
      </w:rPr>
      <w:t>B &amp; L Control Service Inc.</w:t>
    </w:r>
  </w:p>
  <w:p w:rsidR="00000000" w:rsidRDefault="007D1012">
    <w:pPr>
      <w:jc w:val="center"/>
      <w:rPr>
        <w:rFonts w:ascii="GoudyOlSt BT" w:hAnsi="GoudyOlSt BT" w:cs="GoudyOlSt BT"/>
        <w:sz w:val="24"/>
        <w:szCs w:val="24"/>
      </w:rPr>
    </w:pPr>
    <w:r>
      <w:rPr>
        <w:rFonts w:ascii="GoudyOlSt BT" w:hAnsi="GoudyOlSt BT" w:cs="GoudyOlSt BT"/>
        <w:sz w:val="24"/>
        <w:szCs w:val="24"/>
      </w:rPr>
      <w:t>WATER TREATMENT CONSULTANTS &amp; MFG. REPRESENTATIVES</w:t>
    </w:r>
  </w:p>
  <w:p w:rsidR="00000000" w:rsidRDefault="007D1012">
    <w:pPr>
      <w:jc w:val="center"/>
      <w:rPr>
        <w:rFonts w:ascii="GoudyOlSt BT" w:hAnsi="GoudyOlSt BT" w:cs="GoudyOlSt BT"/>
        <w:sz w:val="24"/>
        <w:szCs w:val="24"/>
      </w:rPr>
    </w:pPr>
    <w:r>
      <w:rPr>
        <w:rFonts w:ascii="GoudyOlSt BT" w:hAnsi="GoudyOlSt BT" w:cs="GoudyOlSt BT"/>
        <w:sz w:val="24"/>
        <w:szCs w:val="24"/>
      </w:rPr>
      <w:t>1448 Saratoga Road, Ballston Spa, NY 12020</w:t>
    </w:r>
  </w:p>
  <w:p w:rsidR="007D1012" w:rsidRDefault="007D1012">
    <w:pPr>
      <w:jc w:val="center"/>
      <w:rPr>
        <w:sz w:val="24"/>
        <w:szCs w:val="24"/>
      </w:rPr>
    </w:pPr>
    <w:r>
      <w:rPr>
        <w:rFonts w:ascii="GoudyOlSt BT" w:hAnsi="GoudyOlSt BT" w:cs="GoudyOlSt BT"/>
        <w:sz w:val="24"/>
        <w:szCs w:val="24"/>
      </w:rPr>
      <w:t>P: (518) 273-</w:t>
    </w:r>
    <w:proofErr w:type="gramStart"/>
    <w:r>
      <w:rPr>
        <w:rFonts w:ascii="GoudyOlSt BT" w:hAnsi="GoudyOlSt BT" w:cs="GoudyOlSt BT"/>
        <w:sz w:val="24"/>
        <w:szCs w:val="24"/>
      </w:rPr>
      <w:t>0500  F</w:t>
    </w:r>
    <w:proofErr w:type="gramEnd"/>
    <w:r>
      <w:rPr>
        <w:rFonts w:ascii="GoudyOlSt BT" w:hAnsi="GoudyOlSt BT" w:cs="GoudyOlSt BT"/>
        <w:sz w:val="24"/>
        <w:szCs w:val="24"/>
      </w:rPr>
      <w:t>: (518) 273-0545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12"/>
    <w:rsid w:val="007D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0B44C2-E336-4B88-86D1-720B979F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widowControl w:val="0"/>
      <w:tabs>
        <w:tab w:val="left" w:pos="1339"/>
        <w:tab w:val="right" w:leader="dot" w:pos="7329"/>
      </w:tabs>
      <w:spacing w:line="201" w:lineRule="atLeast"/>
      <w:jc w:val="both"/>
      <w:outlineLvl w:val="0"/>
    </w:pPr>
    <w:rPr>
      <w:sz w:val="24"/>
      <w:szCs w:val="24"/>
    </w:rPr>
  </w:style>
  <w:style w:type="paragraph" w:styleId="Heading2">
    <w:name w:val="heading 2"/>
    <w:basedOn w:val="Normal"/>
    <w:next w:val="Normal"/>
    <w:link w:val="Heading2Char"/>
    <w:uiPriority w:val="99"/>
    <w:qFormat/>
    <w:pPr>
      <w:keepNext/>
      <w:widowControl w:val="0"/>
      <w:spacing w:line="264" w:lineRule="atLeast"/>
      <w:ind w:firstLine="1012"/>
      <w:jc w:val="center"/>
      <w:outlineLvl w:val="1"/>
    </w:pPr>
    <w:rPr>
      <w:sz w:val="24"/>
      <w:szCs w:val="24"/>
    </w:rPr>
  </w:style>
  <w:style w:type="paragraph" w:styleId="Heading3">
    <w:name w:val="heading 3"/>
    <w:basedOn w:val="Normal"/>
    <w:next w:val="Normal"/>
    <w:link w:val="Heading3Char"/>
    <w:uiPriority w:val="99"/>
    <w:qFormat/>
    <w:pPr>
      <w:keepNext/>
      <w:widowControl w:val="0"/>
      <w:spacing w:line="292" w:lineRule="atLeast"/>
      <w:jc w:val="right"/>
      <w:outlineLvl w:val="2"/>
    </w:pPr>
    <w:rPr>
      <w:sz w:val="24"/>
      <w:szCs w:val="24"/>
    </w:rPr>
  </w:style>
  <w:style w:type="paragraph" w:styleId="Heading4">
    <w:name w:val="heading 4"/>
    <w:basedOn w:val="Normal"/>
    <w:next w:val="Normal"/>
    <w:link w:val="Heading4Char"/>
    <w:uiPriority w:val="99"/>
    <w:qFormat/>
    <w:pPr>
      <w:keepNext/>
      <w:widowControl w:val="0"/>
      <w:spacing w:line="201" w:lineRule="atLeast"/>
      <w:jc w:val="both"/>
      <w:outlineLvl w:val="3"/>
    </w:pPr>
    <w:rPr>
      <w:b/>
      <w:bCs/>
      <w:sz w:val="24"/>
      <w:szCs w:val="24"/>
      <w:u w:val="single"/>
    </w:rPr>
  </w:style>
  <w:style w:type="paragraph" w:styleId="Heading5">
    <w:name w:val="heading 5"/>
    <w:basedOn w:val="Normal"/>
    <w:next w:val="Normal"/>
    <w:link w:val="Heading5Char"/>
    <w:uiPriority w:val="99"/>
    <w:qFormat/>
    <w:pPr>
      <w:keepNext/>
      <w:widowControl w:val="0"/>
      <w:spacing w:line="201" w:lineRule="atLeast"/>
      <w:jc w:val="both"/>
      <w:outlineLvl w:val="4"/>
    </w:pPr>
    <w:rPr>
      <w:sz w:val="24"/>
      <w:szCs w:val="24"/>
      <w:u w:val="single"/>
    </w:rPr>
  </w:style>
  <w:style w:type="paragraph" w:styleId="Heading6">
    <w:name w:val="heading 6"/>
    <w:basedOn w:val="Normal"/>
    <w:next w:val="Normal"/>
    <w:link w:val="Heading6Char"/>
    <w:uiPriority w:val="99"/>
    <w:qFormat/>
    <w:pPr>
      <w:keepNext/>
      <w:widowControl w:val="0"/>
      <w:spacing w:line="216" w:lineRule="atLeast"/>
      <w:outlineLvl w:val="5"/>
    </w:pPr>
    <w:rPr>
      <w:b/>
      <w:bCs/>
      <w:sz w:val="22"/>
      <w:szCs w:val="22"/>
      <w:u w:val="single"/>
    </w:rPr>
  </w:style>
  <w:style w:type="paragraph" w:styleId="Heading7">
    <w:name w:val="heading 7"/>
    <w:basedOn w:val="Normal"/>
    <w:next w:val="Normal"/>
    <w:link w:val="Heading7Char"/>
    <w:uiPriority w:val="99"/>
    <w:qFormat/>
    <w:pPr>
      <w:keepNext/>
      <w:widowControl w:val="0"/>
      <w:spacing w:line="206" w:lineRule="atLeast"/>
      <w:jc w:val="both"/>
      <w:outlineLvl w:val="6"/>
    </w:pPr>
    <w:rPr>
      <w:b/>
      <w:bCs/>
      <w:sz w:val="22"/>
      <w:szCs w:val="22"/>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styleId="BodyText">
    <w:name w:val="Body Text"/>
    <w:basedOn w:val="Normal"/>
    <w:link w:val="BodyTextChar"/>
    <w:uiPriority w:val="99"/>
    <w:pPr>
      <w:widowControl w:val="0"/>
      <w:spacing w:line="201" w:lineRule="atLeast"/>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Kristel Thomas</cp:lastModifiedBy>
  <cp:revision>2</cp:revision>
  <cp:lastPrinted>2005-04-07T21:40:00Z</cp:lastPrinted>
  <dcterms:created xsi:type="dcterms:W3CDTF">2019-01-09T16:57:00Z</dcterms:created>
  <dcterms:modified xsi:type="dcterms:W3CDTF">2019-01-09T16:57:00Z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