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60E" w:rsidRDefault="006E260E">
      <w:pPr>
        <w:pStyle w:val="Heading2"/>
        <w:pBdr>
          <w:bottom w:val="single" w:sz="12" w:space="1" w:color="auto"/>
        </w:pBdr>
        <w:jc w:val="right"/>
        <w:rPr>
          <w:sz w:val="22"/>
          <w:szCs w:val="22"/>
        </w:rPr>
      </w:pPr>
    </w:p>
    <w:p w:rsidR="006E260E" w:rsidRDefault="006E260E">
      <w:pPr>
        <w:pStyle w:val="Heading2"/>
        <w:pBdr>
          <w:bottom w:val="single" w:sz="12" w:space="1" w:color="auto"/>
        </w:pBdr>
        <w:jc w:val="right"/>
        <w:rPr>
          <w:sz w:val="22"/>
          <w:szCs w:val="22"/>
        </w:rPr>
      </w:pPr>
      <w:r>
        <w:rPr>
          <w:sz w:val="22"/>
          <w:szCs w:val="22"/>
        </w:rPr>
        <w:t>PRODUCT DATA</w:t>
      </w:r>
    </w:p>
    <w:p w:rsidR="006E260E" w:rsidRDefault="006E260E">
      <w:pPr>
        <w:widowControl w:val="0"/>
        <w:jc w:val="both"/>
        <w:rPr>
          <w:snapToGrid w:val="0"/>
          <w:sz w:val="22"/>
          <w:szCs w:val="22"/>
        </w:rPr>
      </w:pPr>
    </w:p>
    <w:p w:rsidR="006E260E" w:rsidRDefault="006E260E">
      <w:pPr>
        <w:widowControl w:val="0"/>
        <w:jc w:val="both"/>
        <w:rPr>
          <w:snapToGrid w:val="0"/>
          <w:sz w:val="22"/>
          <w:szCs w:val="22"/>
        </w:rPr>
      </w:pPr>
    </w:p>
    <w:p w:rsidR="006E260E" w:rsidRDefault="006E260E">
      <w:pPr>
        <w:widowControl w:val="0"/>
        <w:jc w:val="center"/>
        <w:rPr>
          <w:b/>
          <w:bCs/>
          <w:snapToGrid w:val="0"/>
          <w:sz w:val="22"/>
          <w:szCs w:val="22"/>
        </w:rPr>
      </w:pPr>
      <w:r>
        <w:rPr>
          <w:b/>
          <w:bCs/>
          <w:snapToGrid w:val="0"/>
          <w:sz w:val="22"/>
          <w:szCs w:val="22"/>
        </w:rPr>
        <w:t>FORMULA 1152</w:t>
      </w:r>
    </w:p>
    <w:p w:rsidR="006E260E" w:rsidRDefault="006E260E">
      <w:pPr>
        <w:pStyle w:val="Heading1"/>
      </w:pPr>
      <w:r>
        <w:rPr>
          <w:sz w:val="22"/>
          <w:szCs w:val="22"/>
        </w:rPr>
        <w:t>COOLING WATER INHIBITOR/DISPERSANT</w:t>
      </w:r>
    </w:p>
    <w:p w:rsidR="006E260E" w:rsidRDefault="006E260E">
      <w:pPr>
        <w:widowControl w:val="0"/>
        <w:jc w:val="center"/>
        <w:rPr>
          <w:b/>
          <w:bCs/>
          <w:snapToGrid w:val="0"/>
        </w:rPr>
      </w:pPr>
    </w:p>
    <w:p w:rsidR="006E260E" w:rsidRDefault="006E260E">
      <w:pPr>
        <w:pStyle w:val="Heading4"/>
      </w:pPr>
      <w:r>
        <w:t>DESCRIPTION AND USE</w:t>
      </w:r>
    </w:p>
    <w:p w:rsidR="006E260E" w:rsidRDefault="006E260E">
      <w:pPr>
        <w:widowControl w:val="0"/>
        <w:jc w:val="both"/>
        <w:rPr>
          <w:snapToGrid w:val="0"/>
          <w:u w:val="single"/>
        </w:rPr>
      </w:pPr>
    </w:p>
    <w:p w:rsidR="006E260E" w:rsidRDefault="006E260E">
      <w:pPr>
        <w:pStyle w:val="BodyText2"/>
      </w:pPr>
      <w:r>
        <w:t>FORMULA 1152 is a major formulation in our molybdate series of products designed for open, recirculating cooling water systems constructed of multiple metallurgies. This product contains a synergistic blend of molybdate, complex polyphosphates, organic phosphonates, an azole yellow metal corrosion inhibitor, and polymeric dispersants.  This synergistic blend of anodic and cathodic Inhibitors, and the specific multi-functional polymeric dispersant utilized, maintain system cleanliness to assure optimum corrosion control for systems operated with makeup water containing moderate concentrations of hardness and alkalinity.</w:t>
      </w:r>
    </w:p>
    <w:p w:rsidR="006E260E" w:rsidRDefault="006E260E">
      <w:pPr>
        <w:widowControl w:val="0"/>
        <w:ind w:firstLine="52"/>
        <w:jc w:val="both"/>
        <w:rPr>
          <w:b/>
          <w:bCs/>
          <w:snapToGrid w:val="0"/>
        </w:rPr>
      </w:pPr>
    </w:p>
    <w:p w:rsidR="006E260E" w:rsidRDefault="006E260E">
      <w:pPr>
        <w:pStyle w:val="Heading3"/>
      </w:pPr>
      <w:r>
        <w:rPr>
          <w:b/>
          <w:bCs/>
        </w:rPr>
        <w:t>CHEMICAL FEEDING AND CONTROL</w:t>
      </w:r>
    </w:p>
    <w:p w:rsidR="006E260E" w:rsidRDefault="006E260E">
      <w:pPr>
        <w:widowControl w:val="0"/>
        <w:jc w:val="both"/>
        <w:rPr>
          <w:snapToGrid w:val="0"/>
        </w:rPr>
      </w:pPr>
    </w:p>
    <w:p w:rsidR="006E260E" w:rsidRDefault="006E260E">
      <w:pPr>
        <w:widowControl w:val="0"/>
        <w:ind w:firstLine="686"/>
        <w:jc w:val="both"/>
        <w:rPr>
          <w:snapToGrid w:val="0"/>
        </w:rPr>
      </w:pPr>
      <w:r>
        <w:rPr>
          <w:snapToGrid w:val="0"/>
        </w:rPr>
        <w:t>FORMULA 1152 is normally fed continuously to the system being treated. However, shot feeding may be satisfactory in some circumstances. The product may either be fed neat directly from the shipping container or mixed in a chemical feed tank. Normal materials of construction are satisfactory for the chemical teed system; however, copper, copper alloys, and aluminum metallurgies must be avoided.</w:t>
      </w:r>
    </w:p>
    <w:p w:rsidR="006E260E" w:rsidRDefault="006E260E">
      <w:pPr>
        <w:widowControl w:val="0"/>
        <w:ind w:firstLine="686"/>
        <w:jc w:val="both"/>
        <w:rPr>
          <w:snapToGrid w:val="0"/>
        </w:rPr>
      </w:pPr>
    </w:p>
    <w:p w:rsidR="006E260E" w:rsidRDefault="006E260E">
      <w:pPr>
        <w:widowControl w:val="0"/>
        <w:ind w:firstLine="686"/>
        <w:jc w:val="both"/>
        <w:rPr>
          <w:snapToGrid w:val="0"/>
        </w:rPr>
      </w:pPr>
      <w:r>
        <w:rPr>
          <w:snapToGrid w:val="0"/>
        </w:rPr>
        <w:t>FORMULA 1152 is controlled by a molybdate test. Normally the test used tests the molybdate as sodium molybdate utilizing a simple color comparator. Other tests which measure molybdenum may also be used. The specific control ranges vary depending upon system conditions and will be specified by the technical representative servicing the facility.</w:t>
      </w:r>
    </w:p>
    <w:p w:rsidR="006E260E" w:rsidRDefault="006E260E">
      <w:pPr>
        <w:widowControl w:val="0"/>
        <w:ind w:firstLine="686"/>
        <w:jc w:val="both"/>
        <w:rPr>
          <w:snapToGrid w:val="0"/>
        </w:rPr>
      </w:pPr>
      <w:bookmarkStart w:id="0" w:name="_GoBack"/>
      <w:bookmarkEnd w:id="0"/>
    </w:p>
    <w:p w:rsidR="006E260E" w:rsidRDefault="006E260E">
      <w:pPr>
        <w:pStyle w:val="Heading4"/>
      </w:pPr>
      <w:r>
        <w:t>TYPICAL PROPERTIES</w:t>
      </w:r>
    </w:p>
    <w:p w:rsidR="006E260E" w:rsidRDefault="006E260E">
      <w:pPr>
        <w:widowControl w:val="0"/>
        <w:jc w:val="both"/>
        <w:rPr>
          <w:snapToGrid w:val="0"/>
          <w:u w:val="single"/>
        </w:rPr>
      </w:pPr>
    </w:p>
    <w:p w:rsidR="006E260E" w:rsidRDefault="006E260E">
      <w:pPr>
        <w:widowControl w:val="0"/>
        <w:tabs>
          <w:tab w:val="left" w:leader="dot" w:pos="2476"/>
          <w:tab w:val="right" w:leader="dot" w:pos="5995"/>
        </w:tabs>
        <w:ind w:left="720"/>
        <w:jc w:val="both"/>
        <w:rPr>
          <w:snapToGrid w:val="0"/>
        </w:rPr>
      </w:pPr>
      <w:r>
        <w:rPr>
          <w:snapToGrid w:val="0"/>
        </w:rPr>
        <w:t xml:space="preserve">Appearance …………………………………… Extreme pale yellow liquid </w:t>
      </w:r>
    </w:p>
    <w:p w:rsidR="006E260E" w:rsidRDefault="006E260E">
      <w:pPr>
        <w:widowControl w:val="0"/>
        <w:tabs>
          <w:tab w:val="left" w:leader="dot" w:pos="2476"/>
          <w:tab w:val="right" w:leader="dot" w:pos="5995"/>
        </w:tabs>
        <w:ind w:left="720"/>
        <w:jc w:val="both"/>
        <w:rPr>
          <w:snapToGrid w:val="0"/>
        </w:rPr>
      </w:pPr>
      <w:r>
        <w:rPr>
          <w:snapToGrid w:val="0"/>
        </w:rPr>
        <w:t>Odor…………………………………………………………...Characteristic</w:t>
      </w:r>
    </w:p>
    <w:p w:rsidR="006E260E" w:rsidRDefault="006E260E">
      <w:pPr>
        <w:widowControl w:val="0"/>
        <w:tabs>
          <w:tab w:val="right" w:leader="dot" w:pos="5995"/>
        </w:tabs>
        <w:ind w:left="720"/>
        <w:jc w:val="both"/>
        <w:rPr>
          <w:snapToGrid w:val="0"/>
        </w:rPr>
      </w:pPr>
      <w:r>
        <w:rPr>
          <w:snapToGrid w:val="0"/>
        </w:rPr>
        <w:t>Flash Point……………………………………………………………..None</w:t>
      </w:r>
    </w:p>
    <w:p w:rsidR="006E260E" w:rsidRDefault="006E260E">
      <w:pPr>
        <w:widowControl w:val="0"/>
        <w:tabs>
          <w:tab w:val="right" w:leader="dot" w:pos="5995"/>
        </w:tabs>
        <w:ind w:left="720"/>
        <w:jc w:val="both"/>
        <w:rPr>
          <w:snapToGrid w:val="0"/>
        </w:rPr>
      </w:pPr>
      <w:r>
        <w:rPr>
          <w:snapToGrid w:val="0"/>
        </w:rPr>
        <w:t>Specific gravity………………………………………………….1.037-1.045</w:t>
      </w:r>
    </w:p>
    <w:p w:rsidR="006E260E" w:rsidRDefault="006E260E">
      <w:pPr>
        <w:widowControl w:val="0"/>
        <w:tabs>
          <w:tab w:val="right" w:leader="dot" w:pos="5995"/>
        </w:tabs>
        <w:ind w:left="720"/>
        <w:jc w:val="both"/>
        <w:rPr>
          <w:snapToGrid w:val="0"/>
        </w:rPr>
      </w:pPr>
      <w:r>
        <w:rPr>
          <w:snapToGrid w:val="0"/>
        </w:rPr>
        <w:t>pH(undiluted)………………………………………………….....11.8+/- 0.4</w:t>
      </w:r>
    </w:p>
    <w:p w:rsidR="006E260E" w:rsidRDefault="006E260E">
      <w:pPr>
        <w:widowControl w:val="0"/>
        <w:tabs>
          <w:tab w:val="right" w:leader="dot" w:pos="5995"/>
        </w:tabs>
        <w:ind w:left="720"/>
        <w:jc w:val="both"/>
        <w:rPr>
          <w:snapToGrid w:val="0"/>
        </w:rPr>
      </w:pPr>
      <w:r>
        <w:rPr>
          <w:snapToGrid w:val="0"/>
        </w:rPr>
        <w:t>Freeze Point……………………………………………………...&lt;-3ºC(27ºF)</w:t>
      </w:r>
    </w:p>
    <w:p w:rsidR="006E260E" w:rsidRDefault="006E260E">
      <w:pPr>
        <w:widowControl w:val="0"/>
        <w:tabs>
          <w:tab w:val="right" w:leader="dot" w:pos="5995"/>
        </w:tabs>
        <w:jc w:val="both"/>
        <w:rPr>
          <w:snapToGrid w:val="0"/>
        </w:rPr>
      </w:pPr>
    </w:p>
    <w:p w:rsidR="006E260E" w:rsidRDefault="006E260E">
      <w:pPr>
        <w:pStyle w:val="Heading4"/>
      </w:pPr>
      <w:r>
        <w:t>SAFETY AND HANDING</w:t>
      </w:r>
    </w:p>
    <w:p w:rsidR="006E260E" w:rsidRDefault="006E260E">
      <w:pPr>
        <w:widowControl w:val="0"/>
        <w:jc w:val="both"/>
        <w:rPr>
          <w:snapToGrid w:val="0"/>
          <w:u w:val="single"/>
        </w:rPr>
      </w:pPr>
    </w:p>
    <w:p w:rsidR="006E260E" w:rsidRDefault="006E260E">
      <w:pPr>
        <w:widowControl w:val="0"/>
        <w:ind w:firstLine="686"/>
        <w:jc w:val="both"/>
        <w:rPr>
          <w:snapToGrid w:val="0"/>
        </w:rPr>
      </w:pPr>
      <w:r>
        <w:rPr>
          <w:snapToGrid w:val="0"/>
        </w:rPr>
        <w:t>FORMULA 1152 may be toxic by Ingestion. Do not take internally. If ingested, drink at least two (2) glasses of water and get medical attention. Contact with eyes causes severe irritation or bums. If eyes are contacted, immediately flush with clear water for 15 minutes and then get medical attention. For skin contact, wash with soap and water. For additional information, see the Material Safety Data Sheet provided with this product</w:t>
      </w:r>
    </w:p>
    <w:p w:rsidR="006E260E" w:rsidRDefault="006E260E">
      <w:pPr>
        <w:widowControl w:val="0"/>
        <w:ind w:firstLine="686"/>
        <w:jc w:val="both"/>
        <w:rPr>
          <w:snapToGrid w:val="0"/>
        </w:rPr>
      </w:pPr>
    </w:p>
    <w:p w:rsidR="006E260E" w:rsidRDefault="006E260E">
      <w:pPr>
        <w:pStyle w:val="Heading4"/>
      </w:pPr>
      <w:r>
        <w:t>PACKAGING</w:t>
      </w:r>
    </w:p>
    <w:p w:rsidR="006E260E" w:rsidRDefault="006E260E">
      <w:pPr>
        <w:widowControl w:val="0"/>
        <w:jc w:val="both"/>
        <w:rPr>
          <w:snapToGrid w:val="0"/>
          <w:u w:val="single"/>
        </w:rPr>
      </w:pPr>
    </w:p>
    <w:p w:rsidR="006E260E" w:rsidRDefault="006E260E">
      <w:pPr>
        <w:pStyle w:val="BodyTextIndent2"/>
      </w:pPr>
      <w:r>
        <w:t>FORMULA 1152 is packaged in 55, 30, and 15 gallon, non-returnable plastic drums. Also, 6 gallon pails are available by special order.</w:t>
      </w:r>
    </w:p>
    <w:p w:rsidR="006E260E" w:rsidRDefault="006E260E">
      <w:pPr>
        <w:widowControl w:val="0"/>
        <w:ind w:firstLine="691"/>
        <w:jc w:val="both"/>
        <w:rPr>
          <w:snapToGrid w:val="0"/>
        </w:rPr>
      </w:pPr>
    </w:p>
    <w:p w:rsidR="006E260E" w:rsidRDefault="006E260E">
      <w:pPr>
        <w:widowControl w:val="0"/>
        <w:ind w:firstLine="691"/>
        <w:jc w:val="both"/>
        <w:rPr>
          <w:snapToGrid w:val="0"/>
        </w:rPr>
      </w:pPr>
    </w:p>
    <w:p w:rsidR="006E260E" w:rsidRDefault="006E260E">
      <w:pPr>
        <w:widowControl w:val="0"/>
        <w:ind w:firstLine="691"/>
        <w:jc w:val="both"/>
        <w:rPr>
          <w:snapToGrid w:val="0"/>
        </w:rPr>
      </w:pPr>
    </w:p>
    <w:p w:rsidR="006E260E" w:rsidRDefault="006E260E">
      <w:pPr>
        <w:widowControl w:val="0"/>
        <w:ind w:firstLine="691"/>
        <w:jc w:val="both"/>
        <w:rPr>
          <w:snapToGrid w:val="0"/>
        </w:rPr>
      </w:pPr>
    </w:p>
    <w:p w:rsidR="006E260E" w:rsidRDefault="006E260E">
      <w:pPr>
        <w:widowControl w:val="0"/>
        <w:jc w:val="right"/>
        <w:rPr>
          <w:snapToGrid w:val="0"/>
          <w:sz w:val="16"/>
          <w:szCs w:val="16"/>
        </w:rPr>
      </w:pPr>
      <w:r>
        <w:rPr>
          <w:snapToGrid w:val="0"/>
          <w:sz w:val="16"/>
          <w:szCs w:val="16"/>
        </w:rPr>
        <w:t>5/93</w:t>
      </w:r>
    </w:p>
    <w:p w:rsidR="006E260E" w:rsidRDefault="006E260E">
      <w:pPr>
        <w:widowControl w:val="0"/>
        <w:jc w:val="both"/>
        <w:rPr>
          <w:snapToGrid w:val="0"/>
        </w:rPr>
      </w:pPr>
    </w:p>
    <w:sectPr w:rsidR="006E260E">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779" w:rsidRDefault="00221779">
      <w:r>
        <w:separator/>
      </w:r>
    </w:p>
  </w:endnote>
  <w:endnote w:type="continuationSeparator" w:id="0">
    <w:p w:rsidR="00221779" w:rsidRDefault="0022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OlSt BT">
    <w:altName w:val="Georg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EC" w:rsidRDefault="008A2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EC" w:rsidRDefault="008A2F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EC" w:rsidRDefault="008A2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779" w:rsidRDefault="00221779">
      <w:r>
        <w:separator/>
      </w:r>
    </w:p>
  </w:footnote>
  <w:footnote w:type="continuationSeparator" w:id="0">
    <w:p w:rsidR="00221779" w:rsidRDefault="0022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EC" w:rsidRDefault="008A2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0E" w:rsidRDefault="006E260E">
    <w:pPr>
      <w:jc w:val="center"/>
      <w:rPr>
        <w:rFonts w:ascii="GoudyOlSt BT" w:hAnsi="GoudyOlSt BT" w:cs="GoudyOlSt BT"/>
        <w:sz w:val="24"/>
        <w:szCs w:val="24"/>
      </w:rPr>
    </w:pPr>
    <w:r>
      <w:rPr>
        <w:rFonts w:ascii="GoudyOlSt BT" w:hAnsi="GoudyOlSt BT" w:cs="GoudyOlSt BT"/>
        <w:b/>
        <w:bCs/>
        <w:sz w:val="24"/>
        <w:szCs w:val="24"/>
      </w:rPr>
      <w:t>B &amp; L CONTROL SERVICE INC.</w:t>
    </w:r>
  </w:p>
  <w:p w:rsidR="006E260E" w:rsidRDefault="006E260E">
    <w:pPr>
      <w:jc w:val="center"/>
      <w:rPr>
        <w:rFonts w:ascii="GoudyOlSt BT" w:hAnsi="GoudyOlSt BT" w:cs="GoudyOlSt BT"/>
        <w:sz w:val="24"/>
        <w:szCs w:val="24"/>
      </w:rPr>
    </w:pPr>
    <w:r>
      <w:rPr>
        <w:rFonts w:ascii="GoudyOlSt BT" w:hAnsi="GoudyOlSt BT" w:cs="GoudyOlSt BT"/>
        <w:sz w:val="24"/>
        <w:szCs w:val="24"/>
      </w:rPr>
      <w:t>WATER TREATMENT CONSULTANTS &amp; MFG. REPRESENTATIVES</w:t>
    </w:r>
  </w:p>
  <w:p w:rsidR="006E260E" w:rsidRDefault="008A2FEC">
    <w:pPr>
      <w:jc w:val="center"/>
      <w:rPr>
        <w:rFonts w:ascii="GoudyOlSt BT" w:hAnsi="GoudyOlSt BT" w:cs="GoudyOlSt BT"/>
        <w:sz w:val="24"/>
        <w:szCs w:val="24"/>
      </w:rPr>
    </w:pPr>
    <w:r>
      <w:rPr>
        <w:rFonts w:ascii="GoudyOlSt BT" w:hAnsi="GoudyOlSt BT" w:cs="GoudyOlSt BT"/>
        <w:sz w:val="24"/>
        <w:szCs w:val="24"/>
      </w:rPr>
      <w:t>1448 Saratoga Road, Ballston Spa, NY 12020</w:t>
    </w:r>
  </w:p>
  <w:p w:rsidR="006E260E" w:rsidRDefault="006E260E">
    <w:pPr>
      <w:jc w:val="center"/>
    </w:pPr>
    <w:r>
      <w:rPr>
        <w:sz w:val="24"/>
        <w:szCs w:val="24"/>
      </w:rPr>
      <w:t>(518) 273-0500  FAX: (518) 273-0545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EC" w:rsidRDefault="008A2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0E"/>
    <w:rsid w:val="00221779"/>
    <w:rsid w:val="006E260E"/>
    <w:rsid w:val="008A2FEC"/>
    <w:rsid w:val="00B2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76055B-7F08-413B-BB9F-61323A9C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val="0"/>
      <w:jc w:val="center"/>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3">
    <w:name w:val="heading 3"/>
    <w:basedOn w:val="Normal"/>
    <w:next w:val="Normal"/>
    <w:link w:val="Heading3Char"/>
    <w:uiPriority w:val="99"/>
    <w:qFormat/>
    <w:pPr>
      <w:keepNext/>
      <w:widowControl w:val="0"/>
      <w:jc w:val="both"/>
      <w:outlineLvl w:val="2"/>
    </w:pPr>
    <w:rPr>
      <w:u w:val="single"/>
    </w:rPr>
  </w:style>
  <w:style w:type="paragraph" w:styleId="Heading4">
    <w:name w:val="heading 4"/>
    <w:basedOn w:val="Normal"/>
    <w:next w:val="Normal"/>
    <w:link w:val="Heading4Char"/>
    <w:uiPriority w:val="99"/>
    <w:qFormat/>
    <w:pPr>
      <w:keepNext/>
      <w:widowControl w:val="0"/>
      <w:jc w:val="both"/>
      <w:outlineLvl w:val="3"/>
    </w:pPr>
    <w:rPr>
      <w:b/>
      <w:bCs/>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2">
    <w:name w:val="Body Text 2"/>
    <w:basedOn w:val="Normal"/>
    <w:link w:val="BodyText2Char"/>
    <w:uiPriority w:val="99"/>
    <w:pPr>
      <w:widowControl w:val="0"/>
      <w:ind w:firstLine="686"/>
      <w:jc w:val="both"/>
    </w:p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Indent2">
    <w:name w:val="Body Text Indent 2"/>
    <w:basedOn w:val="Normal"/>
    <w:link w:val="BodyTextIndent2Char"/>
    <w:uiPriority w:val="99"/>
    <w:pPr>
      <w:widowControl w:val="0"/>
      <w:ind w:firstLine="691"/>
      <w:jc w:val="both"/>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Kristel Thomas</cp:lastModifiedBy>
  <cp:revision>2</cp:revision>
  <cp:lastPrinted>2005-02-14T20:01:00Z</cp:lastPrinted>
  <dcterms:created xsi:type="dcterms:W3CDTF">2019-01-09T16:47:00Z</dcterms:created>
  <dcterms:modified xsi:type="dcterms:W3CDTF">2019-01-09T16:47:00Z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