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DD" w:rsidRDefault="00F47EDD">
      <w:pPr>
        <w:pStyle w:val="Heading1"/>
        <w:rPr>
          <w:rFonts w:ascii="Times New Roman" w:hAnsi="Times New Roman" w:cs="Times New Roman"/>
          <w:b/>
          <w:bCs/>
          <w:sz w:val="28"/>
          <w:szCs w:val="28"/>
        </w:rPr>
      </w:pPr>
      <w:r>
        <w:rPr>
          <w:rFonts w:ascii="Times New Roman" w:hAnsi="Times New Roman" w:cs="Times New Roman"/>
          <w:b/>
          <w:bCs/>
          <w:sz w:val="28"/>
          <w:szCs w:val="28"/>
        </w:rPr>
        <w:t>PRODUCT DATA</w:t>
      </w:r>
    </w:p>
    <w:p w:rsidR="00F47EDD" w:rsidRDefault="00F47EDD">
      <w:pPr>
        <w:widowControl w:val="0"/>
        <w:spacing w:line="312" w:lineRule="atLeast"/>
        <w:jc w:val="both"/>
        <w:rPr>
          <w:snapToGrid w:val="0"/>
          <w:sz w:val="24"/>
          <w:szCs w:val="24"/>
        </w:rPr>
      </w:pPr>
    </w:p>
    <w:p w:rsidR="00F47EDD" w:rsidRDefault="00F47EDD">
      <w:pPr>
        <w:widowControl w:val="0"/>
        <w:spacing w:line="312" w:lineRule="atLeast"/>
        <w:ind w:firstLine="849"/>
        <w:jc w:val="center"/>
        <w:rPr>
          <w:b/>
          <w:bCs/>
          <w:snapToGrid w:val="0"/>
          <w:sz w:val="24"/>
          <w:szCs w:val="24"/>
        </w:rPr>
      </w:pPr>
      <w:r>
        <w:rPr>
          <w:b/>
          <w:bCs/>
          <w:snapToGrid w:val="0"/>
          <w:sz w:val="24"/>
          <w:szCs w:val="24"/>
        </w:rPr>
        <w:t>FORMULA 1262</w:t>
      </w:r>
    </w:p>
    <w:p w:rsidR="00F47EDD" w:rsidRDefault="00F47EDD">
      <w:pPr>
        <w:widowControl w:val="0"/>
        <w:spacing w:line="312" w:lineRule="atLeast"/>
        <w:ind w:firstLine="849"/>
        <w:jc w:val="center"/>
        <w:rPr>
          <w:b/>
          <w:bCs/>
          <w:snapToGrid w:val="0"/>
          <w:sz w:val="24"/>
          <w:szCs w:val="24"/>
        </w:rPr>
      </w:pPr>
      <w:r>
        <w:rPr>
          <w:b/>
          <w:bCs/>
          <w:snapToGrid w:val="0"/>
          <w:sz w:val="24"/>
          <w:szCs w:val="24"/>
        </w:rPr>
        <w:t>CLOSED SYSTEM INHIBITOR</w:t>
      </w:r>
    </w:p>
    <w:p w:rsidR="00F47EDD" w:rsidRDefault="00F47EDD">
      <w:pPr>
        <w:widowControl w:val="0"/>
        <w:spacing w:line="312" w:lineRule="atLeast"/>
        <w:ind w:firstLine="849"/>
        <w:jc w:val="center"/>
        <w:rPr>
          <w:snapToGrid w:val="0"/>
          <w:sz w:val="24"/>
          <w:szCs w:val="24"/>
          <w:u w:val="single"/>
        </w:rPr>
      </w:pPr>
    </w:p>
    <w:p w:rsidR="00F47EDD" w:rsidRDefault="00F47EDD">
      <w:pPr>
        <w:pStyle w:val="Heading2"/>
        <w:rPr>
          <w:rFonts w:ascii="Times New Roman" w:hAnsi="Times New Roman" w:cs="Times New Roman"/>
          <w:sz w:val="24"/>
          <w:szCs w:val="24"/>
        </w:rPr>
      </w:pPr>
      <w:r>
        <w:rPr>
          <w:rFonts w:ascii="Times New Roman" w:hAnsi="Times New Roman" w:cs="Times New Roman"/>
          <w:sz w:val="24"/>
          <w:szCs w:val="24"/>
          <w:u w:val="single"/>
        </w:rPr>
        <w:t>DESCRIPTION AND USE</w:t>
      </w:r>
    </w:p>
    <w:p w:rsidR="00F47EDD" w:rsidRDefault="00F47EDD">
      <w:pPr>
        <w:pStyle w:val="BodyTextIndent2"/>
      </w:pPr>
    </w:p>
    <w:p w:rsidR="00F47EDD" w:rsidRDefault="00F47EDD">
      <w:pPr>
        <w:pStyle w:val="BodyTextIndent2"/>
      </w:pPr>
      <w:r>
        <w:t xml:space="preserve">FORMULA 1262 contains a synergistic blend of nitrite, </w:t>
      </w:r>
      <w:proofErr w:type="spellStart"/>
      <w:r>
        <w:t>molybdate</w:t>
      </w:r>
      <w:proofErr w:type="spellEnd"/>
      <w:r>
        <w:t>, and organic corrosion inhibitors and dispersants plus a borate buffer and an azole yellow metal corrosion inhibitor.  The product employs the most modem type of inhibitor blend for control of corrosion in closed loop cooling and heating systems.  In addition, the product is often used to quickly passivate closed, non-potable systems either when new or after cleaning.  It may be used with either hard or softened water makeup and is compatible with ethylene or propylene glycol solutions in HVAC systems.</w:t>
      </w:r>
    </w:p>
    <w:p w:rsidR="00F47EDD" w:rsidRDefault="00F47EDD">
      <w:pPr>
        <w:widowControl w:val="0"/>
        <w:spacing w:line="192" w:lineRule="atLeast"/>
        <w:ind w:firstLine="676"/>
        <w:jc w:val="both"/>
        <w:rPr>
          <w:snapToGrid w:val="0"/>
          <w:sz w:val="24"/>
          <w:szCs w:val="24"/>
        </w:rPr>
      </w:pPr>
    </w:p>
    <w:p w:rsidR="00F47EDD" w:rsidRDefault="00F47EDD">
      <w:pPr>
        <w:pStyle w:val="Heading3"/>
        <w:rPr>
          <w:rFonts w:ascii="Times New Roman" w:hAnsi="Times New Roman" w:cs="Times New Roman"/>
        </w:rPr>
      </w:pPr>
      <w:r>
        <w:rPr>
          <w:rFonts w:ascii="Times New Roman" w:hAnsi="Times New Roman" w:cs="Times New Roman"/>
        </w:rPr>
        <w:t>CHEMICAL FEEDING AND CONTROL</w:t>
      </w:r>
    </w:p>
    <w:p w:rsidR="00F47EDD" w:rsidRDefault="00F47EDD">
      <w:pPr>
        <w:widowControl w:val="0"/>
        <w:spacing w:line="201" w:lineRule="atLeast"/>
        <w:ind w:firstLine="681"/>
        <w:jc w:val="both"/>
        <w:rPr>
          <w:snapToGrid w:val="0"/>
          <w:sz w:val="22"/>
          <w:szCs w:val="22"/>
        </w:rPr>
      </w:pPr>
    </w:p>
    <w:p w:rsidR="00F47EDD" w:rsidRDefault="00F47EDD">
      <w:pPr>
        <w:widowControl w:val="0"/>
        <w:spacing w:line="201" w:lineRule="atLeast"/>
        <w:ind w:firstLine="681"/>
        <w:jc w:val="both"/>
        <w:rPr>
          <w:snapToGrid w:val="0"/>
          <w:sz w:val="22"/>
          <w:szCs w:val="22"/>
        </w:rPr>
      </w:pPr>
      <w:r>
        <w:rPr>
          <w:snapToGrid w:val="0"/>
          <w:sz w:val="22"/>
          <w:szCs w:val="22"/>
        </w:rPr>
        <w:t>FORMULA 1262 is normally shot fed to the system to establish the desired treatment concentration.  For closed systems, either a shot or bypass feeder is usually used. For open systems, the treatment may be added at any convenient point where mixing will occur.</w:t>
      </w:r>
    </w:p>
    <w:p w:rsidR="00F47EDD" w:rsidRDefault="00F47EDD">
      <w:pPr>
        <w:pStyle w:val="BodyText2"/>
        <w:tabs>
          <w:tab w:val="left" w:pos="672"/>
        </w:tabs>
        <w:spacing w:line="201" w:lineRule="atLeast"/>
        <w:ind w:firstLine="0"/>
        <w:rPr>
          <w:sz w:val="22"/>
          <w:szCs w:val="22"/>
        </w:rPr>
      </w:pPr>
      <w:r>
        <w:rPr>
          <w:sz w:val="22"/>
          <w:szCs w:val="22"/>
        </w:rPr>
        <w:tab/>
        <w:t xml:space="preserve">Treatment control may either employ the nitrite or </w:t>
      </w:r>
      <w:proofErr w:type="spellStart"/>
      <w:r>
        <w:rPr>
          <w:sz w:val="22"/>
          <w:szCs w:val="22"/>
        </w:rPr>
        <w:t>molybdate</w:t>
      </w:r>
      <w:proofErr w:type="spellEnd"/>
      <w:r>
        <w:rPr>
          <w:sz w:val="22"/>
          <w:szCs w:val="22"/>
        </w:rPr>
        <w:t xml:space="preserve"> test, whichever is more convenient for the plant. Specific treatment control ranges vary depending upon the system being treated and will be specified by the technical specialist servicing the facility.</w:t>
      </w:r>
    </w:p>
    <w:p w:rsidR="00F47EDD" w:rsidRDefault="00F47EDD">
      <w:pPr>
        <w:widowControl w:val="0"/>
        <w:spacing w:line="201" w:lineRule="atLeast"/>
        <w:jc w:val="right"/>
        <w:rPr>
          <w:snapToGrid w:val="0"/>
          <w:sz w:val="24"/>
          <w:szCs w:val="24"/>
        </w:rPr>
      </w:pPr>
    </w:p>
    <w:p w:rsidR="00F47EDD" w:rsidRDefault="00F47EDD">
      <w:pPr>
        <w:pStyle w:val="Heading3"/>
        <w:spacing w:line="177" w:lineRule="atLeast"/>
        <w:rPr>
          <w:rFonts w:ascii="Times New Roman" w:hAnsi="Times New Roman" w:cs="Times New Roman"/>
        </w:rPr>
      </w:pPr>
      <w:r>
        <w:rPr>
          <w:rFonts w:ascii="Times New Roman" w:hAnsi="Times New Roman" w:cs="Times New Roman"/>
        </w:rPr>
        <w:t>TYPICAL PROPERTIES</w:t>
      </w:r>
    </w:p>
    <w:p w:rsidR="00F47EDD" w:rsidRDefault="00F47EDD">
      <w:pPr>
        <w:widowControl w:val="0"/>
        <w:spacing w:line="177" w:lineRule="atLeast"/>
        <w:jc w:val="both"/>
        <w:rPr>
          <w:b/>
          <w:bCs/>
          <w:snapToGrid w:val="0"/>
          <w:sz w:val="22"/>
          <w:szCs w:val="22"/>
        </w:rPr>
      </w:pPr>
    </w:p>
    <w:p w:rsidR="00F47EDD" w:rsidRDefault="00F47EDD">
      <w:pPr>
        <w:widowControl w:val="0"/>
        <w:tabs>
          <w:tab w:val="right" w:leader="dot" w:pos="5985"/>
        </w:tabs>
        <w:spacing w:line="196" w:lineRule="atLeast"/>
        <w:jc w:val="both"/>
        <w:rPr>
          <w:snapToGrid w:val="0"/>
          <w:sz w:val="22"/>
          <w:szCs w:val="22"/>
        </w:rPr>
      </w:pPr>
      <w:r>
        <w:rPr>
          <w:snapToGrid w:val="0"/>
          <w:sz w:val="22"/>
          <w:szCs w:val="22"/>
        </w:rPr>
        <w:t>Appearance</w:t>
      </w:r>
      <w:r>
        <w:rPr>
          <w:snapToGrid w:val="0"/>
          <w:sz w:val="22"/>
          <w:szCs w:val="22"/>
        </w:rPr>
        <w:tab/>
        <w:t>Extreme pale yellow liquid</w:t>
      </w:r>
    </w:p>
    <w:p w:rsidR="00F47EDD" w:rsidRDefault="00F47EDD">
      <w:pPr>
        <w:widowControl w:val="0"/>
        <w:tabs>
          <w:tab w:val="right" w:leader="dot" w:pos="5985"/>
        </w:tabs>
        <w:spacing w:line="196" w:lineRule="atLeast"/>
        <w:jc w:val="both"/>
        <w:rPr>
          <w:snapToGrid w:val="0"/>
          <w:sz w:val="22"/>
          <w:szCs w:val="22"/>
        </w:rPr>
      </w:pPr>
      <w:r>
        <w:rPr>
          <w:snapToGrid w:val="0"/>
          <w:sz w:val="22"/>
          <w:szCs w:val="22"/>
        </w:rPr>
        <w:t>Odor</w:t>
      </w:r>
      <w:r>
        <w:rPr>
          <w:snapToGrid w:val="0"/>
          <w:sz w:val="22"/>
          <w:szCs w:val="22"/>
        </w:rPr>
        <w:tab/>
        <w:t>Characteristic</w:t>
      </w:r>
    </w:p>
    <w:p w:rsidR="00F47EDD" w:rsidRDefault="00F47EDD">
      <w:pPr>
        <w:widowControl w:val="0"/>
        <w:tabs>
          <w:tab w:val="right" w:leader="dot" w:pos="5985"/>
        </w:tabs>
        <w:spacing w:line="196" w:lineRule="atLeast"/>
        <w:jc w:val="both"/>
        <w:rPr>
          <w:snapToGrid w:val="0"/>
          <w:sz w:val="22"/>
          <w:szCs w:val="22"/>
        </w:rPr>
      </w:pPr>
      <w:r>
        <w:rPr>
          <w:snapToGrid w:val="0"/>
          <w:sz w:val="22"/>
          <w:szCs w:val="22"/>
        </w:rPr>
        <w:t>Flash Point</w:t>
      </w:r>
      <w:r>
        <w:rPr>
          <w:snapToGrid w:val="0"/>
          <w:sz w:val="22"/>
          <w:szCs w:val="22"/>
        </w:rPr>
        <w:tab/>
        <w:t>None</w:t>
      </w:r>
    </w:p>
    <w:p w:rsidR="00F47EDD" w:rsidRDefault="00F47EDD">
      <w:pPr>
        <w:widowControl w:val="0"/>
        <w:tabs>
          <w:tab w:val="right" w:leader="dot" w:pos="5985"/>
        </w:tabs>
        <w:spacing w:line="196" w:lineRule="atLeast"/>
        <w:jc w:val="both"/>
        <w:rPr>
          <w:snapToGrid w:val="0"/>
          <w:sz w:val="22"/>
          <w:szCs w:val="22"/>
        </w:rPr>
      </w:pPr>
      <w:r>
        <w:rPr>
          <w:snapToGrid w:val="0"/>
          <w:sz w:val="22"/>
          <w:szCs w:val="22"/>
        </w:rPr>
        <w:t>Specific gravity</w:t>
      </w:r>
      <w:r>
        <w:rPr>
          <w:snapToGrid w:val="0"/>
          <w:sz w:val="22"/>
          <w:szCs w:val="22"/>
        </w:rPr>
        <w:tab/>
        <w:t>1.042-1.050</w:t>
      </w:r>
    </w:p>
    <w:p w:rsidR="00F47EDD" w:rsidRDefault="00F47EDD">
      <w:pPr>
        <w:widowControl w:val="0"/>
        <w:tabs>
          <w:tab w:val="left" w:leader="dot" w:pos="4713"/>
          <w:tab w:val="right" w:leader="dot" w:pos="5985"/>
        </w:tabs>
        <w:spacing w:line="196" w:lineRule="atLeast"/>
        <w:jc w:val="both"/>
        <w:rPr>
          <w:snapToGrid w:val="0"/>
          <w:sz w:val="22"/>
          <w:szCs w:val="22"/>
        </w:rPr>
      </w:pPr>
      <w:proofErr w:type="gramStart"/>
      <w:r>
        <w:rPr>
          <w:snapToGrid w:val="0"/>
          <w:sz w:val="22"/>
          <w:szCs w:val="22"/>
        </w:rPr>
        <w:t>pH</w:t>
      </w:r>
      <w:proofErr w:type="gramEnd"/>
      <w:r>
        <w:rPr>
          <w:snapToGrid w:val="0"/>
          <w:sz w:val="22"/>
          <w:szCs w:val="22"/>
        </w:rPr>
        <w:t xml:space="preserve"> (10% solution)</w:t>
      </w:r>
      <w:r>
        <w:rPr>
          <w:snapToGrid w:val="0"/>
          <w:sz w:val="22"/>
          <w:szCs w:val="22"/>
        </w:rPr>
        <w:tab/>
      </w:r>
      <w:r>
        <w:rPr>
          <w:snapToGrid w:val="0"/>
          <w:sz w:val="22"/>
          <w:szCs w:val="22"/>
        </w:rPr>
        <w:tab/>
        <w:t>12 +/- 0.3</w:t>
      </w:r>
    </w:p>
    <w:p w:rsidR="00F47EDD" w:rsidRDefault="00F47EDD">
      <w:pPr>
        <w:widowControl w:val="0"/>
        <w:tabs>
          <w:tab w:val="left" w:leader="dot" w:pos="2236"/>
          <w:tab w:val="right" w:leader="dot" w:pos="5985"/>
        </w:tabs>
        <w:spacing w:line="196" w:lineRule="atLeast"/>
        <w:jc w:val="both"/>
        <w:rPr>
          <w:snapToGrid w:val="0"/>
          <w:sz w:val="22"/>
          <w:szCs w:val="22"/>
        </w:rPr>
      </w:pPr>
      <w:r>
        <w:rPr>
          <w:snapToGrid w:val="0"/>
          <w:sz w:val="22"/>
          <w:szCs w:val="22"/>
        </w:rPr>
        <w:t>Freeze Point</w:t>
      </w:r>
      <w:r>
        <w:rPr>
          <w:snapToGrid w:val="0"/>
          <w:sz w:val="22"/>
          <w:szCs w:val="22"/>
        </w:rPr>
        <w:tab/>
      </w:r>
      <w:r>
        <w:rPr>
          <w:snapToGrid w:val="0"/>
          <w:sz w:val="22"/>
          <w:szCs w:val="22"/>
        </w:rPr>
        <w:tab/>
        <w:t>&lt;-5°</w:t>
      </w:r>
      <w:proofErr w:type="gramStart"/>
      <w:r>
        <w:rPr>
          <w:snapToGrid w:val="0"/>
          <w:sz w:val="22"/>
          <w:szCs w:val="22"/>
        </w:rPr>
        <w:t>C(</w:t>
      </w:r>
      <w:proofErr w:type="gramEnd"/>
      <w:r>
        <w:rPr>
          <w:snapToGrid w:val="0"/>
          <w:sz w:val="22"/>
          <w:szCs w:val="22"/>
        </w:rPr>
        <w:t>25°F)</w:t>
      </w:r>
    </w:p>
    <w:p w:rsidR="00F47EDD" w:rsidRDefault="00F47EDD">
      <w:pPr>
        <w:widowControl w:val="0"/>
        <w:tabs>
          <w:tab w:val="left" w:leader="dot" w:pos="2236"/>
          <w:tab w:val="right" w:leader="dot" w:pos="5985"/>
        </w:tabs>
        <w:spacing w:line="196" w:lineRule="atLeast"/>
        <w:jc w:val="both"/>
        <w:rPr>
          <w:snapToGrid w:val="0"/>
          <w:sz w:val="24"/>
          <w:szCs w:val="24"/>
        </w:rPr>
      </w:pPr>
    </w:p>
    <w:p w:rsidR="00F47EDD" w:rsidRDefault="00F47EDD">
      <w:pPr>
        <w:pStyle w:val="Heading3"/>
        <w:spacing w:line="182" w:lineRule="atLeast"/>
        <w:rPr>
          <w:rFonts w:ascii="Times New Roman" w:hAnsi="Times New Roman" w:cs="Times New Roman"/>
        </w:rPr>
      </w:pPr>
      <w:r>
        <w:rPr>
          <w:rFonts w:ascii="Times New Roman" w:hAnsi="Times New Roman" w:cs="Times New Roman"/>
        </w:rPr>
        <w:t>SAFETY AND HANDLING</w:t>
      </w:r>
    </w:p>
    <w:p w:rsidR="00F47EDD" w:rsidRDefault="00F47EDD">
      <w:pPr>
        <w:widowControl w:val="0"/>
        <w:spacing w:line="182" w:lineRule="atLeast"/>
        <w:jc w:val="both"/>
        <w:rPr>
          <w:b/>
          <w:bCs/>
          <w:snapToGrid w:val="0"/>
          <w:sz w:val="24"/>
          <w:szCs w:val="24"/>
        </w:rPr>
      </w:pPr>
    </w:p>
    <w:p w:rsidR="00F47EDD" w:rsidRDefault="00F47EDD">
      <w:pPr>
        <w:pStyle w:val="BodyTextIndent3"/>
      </w:pPr>
      <w:r>
        <w:t xml:space="preserve">FORMULA 1262 may be toxic by ingestion. Do not take internally.  If ingested, drink at least two (2) glasses of water and if the patient is conscious, induce vomiting.  Then get immediate medical attention. Contact with eyes causes severe irritation or burns.  If eyes are contacted, immediately flush with clear water for 15 minutes and if irritation persists, get medical attention.  For skin contact, wash with soap and water.  For additional information, see the Material Safety Data Sheet provided with this </w:t>
      </w:r>
      <w:proofErr w:type="gramStart"/>
      <w:r>
        <w:t>product</w:t>
      </w:r>
      <w:proofErr w:type="gramEnd"/>
      <w:r>
        <w:t>.</w:t>
      </w:r>
    </w:p>
    <w:p w:rsidR="00F47EDD" w:rsidRDefault="00F47EDD">
      <w:pPr>
        <w:widowControl w:val="0"/>
        <w:spacing w:line="196" w:lineRule="atLeast"/>
        <w:ind w:firstLine="681"/>
        <w:jc w:val="both"/>
        <w:rPr>
          <w:snapToGrid w:val="0"/>
          <w:sz w:val="24"/>
          <w:szCs w:val="24"/>
        </w:rPr>
      </w:pPr>
    </w:p>
    <w:p w:rsidR="00F47EDD" w:rsidRDefault="00F47EDD">
      <w:pPr>
        <w:pStyle w:val="Heading3"/>
        <w:spacing w:line="192" w:lineRule="atLeast"/>
        <w:rPr>
          <w:rFonts w:ascii="Times New Roman" w:hAnsi="Times New Roman" w:cs="Times New Roman"/>
        </w:rPr>
      </w:pPr>
      <w:r>
        <w:rPr>
          <w:rFonts w:ascii="Times New Roman" w:hAnsi="Times New Roman" w:cs="Times New Roman"/>
        </w:rPr>
        <w:t>PACKAGING</w:t>
      </w:r>
    </w:p>
    <w:p w:rsidR="00F47EDD" w:rsidRDefault="00F47EDD">
      <w:pPr>
        <w:widowControl w:val="0"/>
        <w:spacing w:line="192" w:lineRule="atLeast"/>
        <w:jc w:val="both"/>
        <w:rPr>
          <w:b/>
          <w:bCs/>
          <w:snapToGrid w:val="0"/>
          <w:sz w:val="24"/>
          <w:szCs w:val="24"/>
        </w:rPr>
      </w:pPr>
    </w:p>
    <w:p w:rsidR="00F47EDD" w:rsidRDefault="00F47EDD">
      <w:pPr>
        <w:pStyle w:val="BodyText2"/>
        <w:rPr>
          <w:sz w:val="22"/>
          <w:szCs w:val="22"/>
        </w:rPr>
      </w:pPr>
      <w:r>
        <w:rPr>
          <w:sz w:val="22"/>
          <w:szCs w:val="22"/>
        </w:rPr>
        <w:t>FORMULA 1262 is packaged in 55, 30, and 15 gallon, non-returnable plastic drums. Also, 6 gallon pails are available by special order.</w:t>
      </w:r>
    </w:p>
    <w:p w:rsidR="00F47EDD" w:rsidRDefault="00F47EDD">
      <w:pPr>
        <w:widowControl w:val="0"/>
        <w:spacing w:line="120" w:lineRule="atLeast"/>
        <w:jc w:val="right"/>
        <w:rPr>
          <w:snapToGrid w:val="0"/>
          <w:sz w:val="22"/>
          <w:szCs w:val="22"/>
        </w:rPr>
      </w:pPr>
    </w:p>
    <w:p w:rsidR="00F47EDD" w:rsidRDefault="00F47EDD" w:rsidP="00F47EDD">
      <w:pPr>
        <w:widowControl w:val="0"/>
        <w:spacing w:line="120" w:lineRule="atLeast"/>
        <w:jc w:val="right"/>
        <w:rPr>
          <w:snapToGrid w:val="0"/>
          <w:sz w:val="22"/>
          <w:szCs w:val="22"/>
        </w:rPr>
      </w:pPr>
      <w:r>
        <w:rPr>
          <w:snapToGrid w:val="0"/>
          <w:sz w:val="16"/>
          <w:szCs w:val="16"/>
        </w:rPr>
        <w:t>1/96</w:t>
      </w:r>
    </w:p>
    <w:sectPr w:rsidR="00F47EDD">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DD" w:rsidRDefault="00F47EDD">
      <w:r>
        <w:separator/>
      </w:r>
    </w:p>
  </w:endnote>
  <w:endnote w:type="continuationSeparator" w:id="0">
    <w:p w:rsidR="00F47EDD" w:rsidRDefault="00F4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59" w:rsidRDefault="005B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59" w:rsidRDefault="005B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59" w:rsidRDefault="005B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DD" w:rsidRDefault="00F47EDD">
      <w:r>
        <w:separator/>
      </w:r>
    </w:p>
  </w:footnote>
  <w:footnote w:type="continuationSeparator" w:id="0">
    <w:p w:rsidR="00F47EDD" w:rsidRDefault="00F4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59" w:rsidRDefault="005B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DD" w:rsidRDefault="00F47EDD">
    <w:pPr>
      <w:jc w:val="center"/>
      <w:rPr>
        <w:rFonts w:ascii="GoudyOlSt BT" w:hAnsi="GoudyOlSt BT" w:cs="GoudyOlSt BT"/>
        <w:sz w:val="26"/>
        <w:szCs w:val="26"/>
      </w:rPr>
    </w:pPr>
    <w:r>
      <w:rPr>
        <w:rFonts w:ascii="GoudyOlSt BT" w:hAnsi="GoudyOlSt BT" w:cs="GoudyOlSt BT"/>
        <w:b/>
        <w:bCs/>
        <w:sz w:val="26"/>
        <w:szCs w:val="26"/>
      </w:rPr>
      <w:t>B &amp; L Control Service Inc.</w:t>
    </w:r>
  </w:p>
  <w:p w:rsidR="00F47EDD" w:rsidRDefault="00F47EDD">
    <w:pPr>
      <w:jc w:val="center"/>
      <w:rPr>
        <w:rFonts w:ascii="GoudyOlSt BT" w:hAnsi="GoudyOlSt BT" w:cs="GoudyOlSt BT"/>
        <w:sz w:val="26"/>
        <w:szCs w:val="26"/>
      </w:rPr>
    </w:pPr>
    <w:r>
      <w:rPr>
        <w:rFonts w:ascii="GoudyOlSt BT" w:hAnsi="GoudyOlSt BT" w:cs="GoudyOlSt BT"/>
        <w:sz w:val="26"/>
        <w:szCs w:val="26"/>
      </w:rPr>
      <w:t>WATER TREATMENT CONSULTANTS &amp; MFG. REPRESENTATIVES</w:t>
    </w:r>
  </w:p>
  <w:p w:rsidR="00F47EDD" w:rsidRDefault="005B3E59">
    <w:pPr>
      <w:jc w:val="center"/>
      <w:rPr>
        <w:rFonts w:ascii="GoudyOlSt BT" w:hAnsi="GoudyOlSt BT" w:cs="GoudyOlSt BT"/>
        <w:sz w:val="26"/>
        <w:szCs w:val="26"/>
      </w:rPr>
    </w:pPr>
    <w:r>
      <w:rPr>
        <w:rFonts w:ascii="GoudyOlSt BT" w:hAnsi="GoudyOlSt BT" w:cs="GoudyOlSt BT"/>
        <w:sz w:val="26"/>
        <w:szCs w:val="26"/>
      </w:rPr>
      <w:t xml:space="preserve">1448 Saratoga Road, Ballston Spa, NY  </w:t>
    </w:r>
    <w:r>
      <w:rPr>
        <w:rFonts w:ascii="GoudyOlSt BT" w:hAnsi="GoudyOlSt BT" w:cs="GoudyOlSt BT"/>
        <w:sz w:val="26"/>
        <w:szCs w:val="26"/>
      </w:rPr>
      <w:t>12020</w:t>
    </w:r>
    <w:bookmarkStart w:id="0" w:name="_GoBack"/>
    <w:bookmarkEnd w:id="0"/>
  </w:p>
  <w:p w:rsidR="00F47EDD" w:rsidRDefault="00F47EDD">
    <w:pPr>
      <w:jc w:val="center"/>
      <w:rPr>
        <w:rFonts w:ascii="GoudyOlSt BT" w:hAnsi="GoudyOlSt BT" w:cs="GoudyOlSt BT"/>
        <w:sz w:val="26"/>
        <w:szCs w:val="26"/>
      </w:rPr>
    </w:pPr>
    <w:r>
      <w:rPr>
        <w:rFonts w:ascii="GoudyOlSt BT" w:hAnsi="GoudyOlSt BT" w:cs="GoudyOlSt BT"/>
        <w:sz w:val="26"/>
        <w:szCs w:val="26"/>
      </w:rPr>
      <w:t>(518) 273-0500</w:t>
    </w:r>
  </w:p>
  <w:p w:rsidR="00F47EDD" w:rsidRDefault="00F47EDD">
    <w:pPr>
      <w:pStyle w:val="Header"/>
      <w:jc w:val="center"/>
      <w:rPr>
        <w:sz w:val="26"/>
        <w:szCs w:val="26"/>
      </w:rPr>
    </w:pPr>
    <w:r>
      <w:rPr>
        <w:rFonts w:ascii="GoudyOlSt BT" w:hAnsi="GoudyOlSt BT" w:cs="GoudyOlSt BT"/>
        <w:sz w:val="26"/>
        <w:szCs w:val="26"/>
      </w:rPr>
      <w:t>FAX: (518) 273-0545</w:t>
    </w:r>
  </w:p>
  <w:p w:rsidR="00F47EDD" w:rsidRDefault="00F47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59" w:rsidRDefault="005B3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DD"/>
    <w:rsid w:val="00467C29"/>
    <w:rsid w:val="005B3E59"/>
    <w:rsid w:val="00F4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DC2DAB1-8882-4313-8521-B4BA03C1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pBdr>
        <w:bottom w:val="single" w:sz="12" w:space="1" w:color="auto"/>
      </w:pBdr>
      <w:spacing w:line="312" w:lineRule="atLeast"/>
      <w:jc w:val="right"/>
      <w:outlineLvl w:val="0"/>
    </w:pPr>
    <w:rPr>
      <w:rFonts w:ascii="Arial" w:hAnsi="Arial" w:cs="Arial"/>
      <w:sz w:val="30"/>
      <w:szCs w:val="30"/>
    </w:rPr>
  </w:style>
  <w:style w:type="paragraph" w:styleId="Heading2">
    <w:name w:val="heading 2"/>
    <w:basedOn w:val="Normal"/>
    <w:next w:val="Normal"/>
    <w:link w:val="Heading2Char"/>
    <w:uiPriority w:val="99"/>
    <w:qFormat/>
    <w:pPr>
      <w:keepNext/>
      <w:widowControl w:val="0"/>
      <w:spacing w:line="177" w:lineRule="atLeast"/>
      <w:jc w:val="both"/>
      <w:outlineLvl w:val="1"/>
    </w:pPr>
    <w:rPr>
      <w:rFonts w:ascii="Arial" w:hAnsi="Arial" w:cs="Arial"/>
      <w:b/>
      <w:bCs/>
    </w:rPr>
  </w:style>
  <w:style w:type="paragraph" w:styleId="Heading3">
    <w:name w:val="heading 3"/>
    <w:basedOn w:val="Normal"/>
    <w:next w:val="Normal"/>
    <w:link w:val="Heading3Char"/>
    <w:uiPriority w:val="99"/>
    <w:qFormat/>
    <w:pPr>
      <w:keepNext/>
      <w:widowControl w:val="0"/>
      <w:spacing w:line="201" w:lineRule="atLeast"/>
      <w:jc w:val="both"/>
      <w:outlineLvl w:val="2"/>
    </w:pPr>
    <w:rPr>
      <w:rFonts w:ascii="Arial" w:hAnsi="Arial" w:cs="Arial"/>
      <w:b/>
      <w:bCs/>
      <w:sz w:val="24"/>
      <w:szCs w:val="24"/>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widowControl w:val="0"/>
      <w:spacing w:line="201" w:lineRule="atLeast"/>
    </w:pPr>
    <w:rPr>
      <w:rFonts w:ascii="Arial" w:hAnsi="Arial" w:cs="Arial"/>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spacing w:line="211" w:lineRule="atLeast"/>
      <w:ind w:firstLine="676"/>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widowControl w:val="0"/>
      <w:spacing w:line="192" w:lineRule="atLeast"/>
      <w:ind w:firstLine="676"/>
      <w:jc w:val="both"/>
    </w:pPr>
    <w:rPr>
      <w:sz w:val="22"/>
      <w:szCs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pPr>
      <w:widowControl w:val="0"/>
      <w:spacing w:line="196" w:lineRule="atLeast"/>
      <w:ind w:firstLine="681"/>
      <w:jc w:val="both"/>
    </w:pPr>
    <w:rPr>
      <w:sz w:val="22"/>
      <w:szCs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Kristel Thomas</cp:lastModifiedBy>
  <cp:revision>2</cp:revision>
  <cp:lastPrinted>2004-03-08T18:36:00Z</cp:lastPrinted>
  <dcterms:created xsi:type="dcterms:W3CDTF">2019-01-09T16:54:00Z</dcterms:created>
  <dcterms:modified xsi:type="dcterms:W3CDTF">2019-01-09T16:54:00Z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